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B9" w:rsidRDefault="00DF782C">
      <w:pPr>
        <w:spacing w:after="160" w:line="259" w:lineRule="auto"/>
        <w:ind w:firstLine="0"/>
        <w:jc w:val="center"/>
        <w:rPr>
          <w:rFonts w:ascii="Calibri" w:hAnsi="Calibri" w:cs="Calibri"/>
          <w:sz w:val="22"/>
        </w:rPr>
      </w:pPr>
      <w:bookmarkStart w:id="0" w:name="_GoBack"/>
      <w:bookmarkEnd w:id="0"/>
      <w:r>
        <w:rPr>
          <w:b/>
          <w:szCs w:val="28"/>
        </w:rPr>
        <w:t xml:space="preserve">МЕРОПРИЯТИЯ, НАПРАВЛЕННЫЕ НА РАЗВИТИЕ КОНКУРЕНЦИИ НА ТОВАРНЫХ РЫНКАХ </w:t>
      </w:r>
      <w:r>
        <w:rPr>
          <w:b/>
          <w:szCs w:val="28"/>
        </w:rPr>
        <w:br w:type="textWrapping" w:clear="all"/>
      </w:r>
      <w:r>
        <w:rPr>
          <w:b/>
          <w:szCs w:val="28"/>
        </w:rPr>
        <w:t>УССУРИЙСКОГО ГОРОДСКОГО ОКРУГА</w:t>
      </w:r>
    </w:p>
    <w:tbl>
      <w:tblPr>
        <w:tblpPr w:leftFromText="180" w:rightFromText="180" w:vertAnchor="page" w:horzAnchor="page" w:tblpX="667" w:tblpY="2956"/>
        <w:tblW w:w="51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2"/>
        <w:gridCol w:w="3972"/>
        <w:gridCol w:w="992"/>
        <w:gridCol w:w="847"/>
        <w:gridCol w:w="992"/>
        <w:gridCol w:w="1422"/>
        <w:gridCol w:w="1273"/>
        <w:gridCol w:w="6"/>
        <w:gridCol w:w="5761"/>
      </w:tblGrid>
      <w:tr w:rsidR="000765B9">
        <w:trPr>
          <w:tblHeader/>
        </w:trPr>
        <w:tc>
          <w:tcPr>
            <w:tcW w:w="162" w:type="pct"/>
            <w:vMerge w:val="restar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264" w:type="pct"/>
            <w:gridSpan w:val="2"/>
            <w:vMerge w:val="restar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" w:type="pct"/>
            <w:vMerge w:val="restart"/>
          </w:tcPr>
          <w:p w:rsidR="000765B9" w:rsidRDefault="00DF782C">
            <w:pPr>
              <w:spacing w:line="240" w:lineRule="auto"/>
              <w:ind w:left="-108" w:righ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032" w:type="pct"/>
            <w:gridSpan w:val="3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Целевые</w:t>
            </w:r>
          </w:p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значения показателя</w:t>
            </w:r>
          </w:p>
        </w:tc>
        <w:tc>
          <w:tcPr>
            <w:tcW w:w="405" w:type="pct"/>
            <w:gridSpan w:val="2"/>
            <w:vMerge w:val="restart"/>
          </w:tcPr>
          <w:p w:rsidR="000765B9" w:rsidRDefault="00DF782C">
            <w:pPr>
              <w:spacing w:line="240" w:lineRule="auto"/>
              <w:ind w:left="-108" w:righ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23" w:type="pct"/>
            <w:vMerge w:val="restar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Исполнение</w:t>
            </w:r>
          </w:p>
        </w:tc>
      </w:tr>
      <w:tr w:rsidR="000765B9">
        <w:tc>
          <w:tcPr>
            <w:tcW w:w="162" w:type="pct"/>
            <w:vMerge/>
          </w:tcPr>
          <w:p w:rsidR="000765B9" w:rsidRDefault="00076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0765B9" w:rsidRDefault="00076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765B9" w:rsidRDefault="00076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0765B9" w:rsidRDefault="00DF782C">
            <w:pPr>
              <w:spacing w:line="240" w:lineRule="auto"/>
              <w:ind w:left="-108" w:righ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0765B9" w:rsidRDefault="000765B9">
            <w:pPr>
              <w:spacing w:line="240" w:lineRule="auto"/>
              <w:ind w:left="-108" w:right="-10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left="-108" w:righ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2023</w:t>
            </w:r>
          </w:p>
          <w:p w:rsidR="000765B9" w:rsidRDefault="00DF782C">
            <w:pPr>
              <w:spacing w:line="240" w:lineRule="auto"/>
              <w:ind w:left="-108" w:righ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450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01.10</w:t>
            </w:r>
            <w:r>
              <w:rPr>
                <w:color w:val="auto"/>
                <w:sz w:val="24"/>
                <w:szCs w:val="24"/>
              </w:rPr>
              <w:t>.2023 Факт</w:t>
            </w:r>
          </w:p>
        </w:tc>
        <w:tc>
          <w:tcPr>
            <w:tcW w:w="405" w:type="pct"/>
            <w:gridSpan w:val="2"/>
            <w:vMerge/>
          </w:tcPr>
          <w:p w:rsidR="000765B9" w:rsidRDefault="00076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3" w:type="pct"/>
            <w:vMerge/>
          </w:tcPr>
          <w:p w:rsidR="000765B9" w:rsidRDefault="00076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765B9"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0765B9"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>
              <w:rPr>
                <w:i/>
                <w:color w:val="auto"/>
                <w:sz w:val="24"/>
                <w:szCs w:val="24"/>
              </w:rPr>
              <w:t>:  В Уссурийском городском округе по состоянию на 01 октября 2023 года оказывают услуги по присмотру и уходу за д</w:t>
            </w:r>
            <w:r>
              <w:rPr>
                <w:i/>
                <w:color w:val="auto"/>
                <w:sz w:val="24"/>
                <w:szCs w:val="24"/>
              </w:rPr>
              <w:t>етьми - 17  субъектов частной формы собственности (в том числе: 3 имеют лицензию на осуществление образовательной деятельности, из них:  ЧДОУ «Детский сад № 246» ОАО «РЖД»;  Комарова Елена Юрьевна «Школа раннего развития «Детский сад «Счастливые дети»; Тит</w:t>
            </w:r>
            <w:r>
              <w:rPr>
                <w:i/>
                <w:color w:val="auto"/>
                <w:sz w:val="24"/>
                <w:szCs w:val="24"/>
              </w:rPr>
              <w:t>оренко Анастасия Валерьевна  «Детский сад «Шкода»). Всего общая численность воспитанников в трех частных дошкольных организациях, имеющих лицензию на образовательную деятельность: 461 из них обучающихся дошкольного возраста 262 ребенка, дети до 3 (трёх) ле</w:t>
            </w:r>
            <w:r>
              <w:rPr>
                <w:i/>
                <w:color w:val="auto"/>
                <w:sz w:val="24"/>
                <w:szCs w:val="24"/>
              </w:rPr>
              <w:t>т - 199 детей.</w:t>
            </w:r>
          </w:p>
        </w:tc>
      </w:tr>
      <w:tr w:rsidR="000765B9">
        <w:trPr>
          <w:trHeight w:val="425"/>
        </w:trPr>
        <w:tc>
          <w:tcPr>
            <w:tcW w:w="162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1264" w:type="pct"/>
            <w:gridSpan w:val="2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Консультационная и методическая помощь по вопросам организации образовательной деятельности, получения лицензий, порядка предоставления субсидий индивидуальным предпринимателям, оказывающим услуги по присмотру и уходу за детьми дошкольн</w:t>
            </w:r>
            <w:r>
              <w:rPr>
                <w:color w:val="auto"/>
                <w:sz w:val="24"/>
                <w:szCs w:val="24"/>
              </w:rPr>
              <w:t>ого возраста на территории Уссурийского городского округа.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3,9%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4,3%</w:t>
            </w:r>
          </w:p>
        </w:tc>
        <w:tc>
          <w:tcPr>
            <w:tcW w:w="450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4,75%</w:t>
            </w:r>
          </w:p>
        </w:tc>
        <w:tc>
          <w:tcPr>
            <w:tcW w:w="405" w:type="pct"/>
            <w:gridSpan w:val="2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823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образования и молодёжной политики администрации Уссурийского городского округа на постоянной основе проводит консультации по организации деятельности индивидуальных предпринимателей в сфере дошкольного образования.</w:t>
            </w:r>
          </w:p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 9 месяцев 2023 года с индив</w:t>
            </w:r>
            <w:r>
              <w:rPr>
                <w:color w:val="auto"/>
                <w:sz w:val="24"/>
                <w:szCs w:val="24"/>
              </w:rPr>
              <w:t>идуальными предпринимателями, организациями, частными лицами по вопросам организации дошкольного образования для детей от 1,5 до 3 лет проведены следующие мероприятия:</w:t>
            </w:r>
          </w:p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 февраля 2023 года - рабочая встреча по вопросу прогноза набора детей в возрасте от 1,</w:t>
            </w:r>
            <w:r>
              <w:rPr>
                <w:color w:val="auto"/>
                <w:sz w:val="24"/>
                <w:szCs w:val="24"/>
              </w:rPr>
              <w:t>5 до 3-х лет по субсидированной программе, взаимодействие, своевременность и полнота предоставляемых сведений, требования антитеррористической защищенности, соблюдение и обеспечение чистоты на прилегающих территориях.</w:t>
            </w:r>
          </w:p>
          <w:p w:rsidR="000765B9" w:rsidRDefault="00DF782C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 xml:space="preserve">22 июня 2023 года - </w:t>
            </w:r>
            <w:r>
              <w:rPr>
                <w:color w:val="auto"/>
                <w:sz w:val="24"/>
                <w:szCs w:val="24"/>
                <w:highlight w:val="white"/>
              </w:rPr>
              <w:t xml:space="preserve">рабочая встреча с заведующими </w:t>
            </w:r>
            <w:r>
              <w:rPr>
                <w:color w:val="auto"/>
                <w:sz w:val="24"/>
                <w:szCs w:val="24"/>
                <w:highlight w:val="white"/>
              </w:rPr>
              <w:lastRenderedPageBreak/>
              <w:t>частных ДОУ по вопросам: регистрации на платформе «Сферум», проблемам аттестации рабочих мест, начале работы по новой образовательной программе с 01 сентября 2023 года.</w:t>
            </w:r>
          </w:p>
          <w:p w:rsidR="000765B9" w:rsidRDefault="000765B9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0765B9">
        <w:trPr>
          <w:trHeight w:val="275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 Рынок услуг общего образования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>
              <w:rPr>
                <w:i/>
                <w:color w:val="auto"/>
                <w:sz w:val="24"/>
                <w:szCs w:val="24"/>
              </w:rPr>
              <w:t>: Программу общего образования на территории округа реализуют 40 образовательных учреждений, из них:</w:t>
            </w:r>
          </w:p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35 муниципальных общеобразовательных учреждений, 3 краевых образовательных учреждения и 2 негосударственных образовательных учреждения, из них:</w:t>
            </w:r>
          </w:p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31 муниципа</w:t>
            </w:r>
            <w:r>
              <w:rPr>
                <w:i/>
                <w:color w:val="auto"/>
                <w:sz w:val="24"/>
                <w:szCs w:val="24"/>
              </w:rPr>
              <w:t>льная средняя общеобразовательная школа, где получают образование 22656 человек;</w:t>
            </w:r>
          </w:p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3 муниципальные основные общеобразовательные школы, в которых обучается 750 человек;</w:t>
            </w:r>
          </w:p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 муниципальная вечерняя (сменная) общеобразовательная школа, численность обучающихся в ко</w:t>
            </w:r>
            <w:r>
              <w:rPr>
                <w:i/>
                <w:color w:val="auto"/>
                <w:sz w:val="24"/>
                <w:szCs w:val="24"/>
              </w:rPr>
              <w:t>торой составляет 206 человек;</w:t>
            </w:r>
          </w:p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 частное общеобразовательное учреждение «Перфект – гимназия», численность обучающихся – 167 человек;</w:t>
            </w:r>
          </w:p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 негосударственное образовательное учреждение «Школа – интернат № 29 ОАО «Российские железные дороги», численность обучающи</w:t>
            </w:r>
            <w:r>
              <w:rPr>
                <w:i/>
                <w:color w:val="auto"/>
                <w:sz w:val="24"/>
                <w:szCs w:val="24"/>
              </w:rPr>
              <w:t>хся 489 человек;</w:t>
            </w:r>
          </w:p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Краевая государственная Уссурийская коррекционная школа, численность обучающихся 135 человек;</w:t>
            </w:r>
          </w:p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Краевая государственная Специальная общеобразовательная школа закрытого типа имени Т.М. Тихого, численность обучающихся 38 человек;</w:t>
            </w:r>
          </w:p>
          <w:p w:rsidR="000765B9" w:rsidRDefault="00DF782C">
            <w:pPr>
              <w:spacing w:line="240" w:lineRule="auto"/>
              <w:ind w:firstLine="567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Коррекционная</w:t>
            </w:r>
            <w:r>
              <w:rPr>
                <w:i/>
                <w:color w:val="auto"/>
                <w:sz w:val="24"/>
                <w:szCs w:val="24"/>
              </w:rPr>
              <w:t xml:space="preserve"> школа – интернат, численность обучающихся 138 человек.</w:t>
            </w:r>
          </w:p>
        </w:tc>
      </w:tr>
      <w:tr w:rsidR="000765B9">
        <w:trPr>
          <w:trHeight w:val="393"/>
        </w:trPr>
        <w:tc>
          <w:tcPr>
            <w:tcW w:w="162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1264" w:type="pct"/>
            <w:gridSpan w:val="2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Консультационная и методическая помощь по вопросам организации образовательной деятельности, получения лицензий, порядка предоставления субсидий и возможности аренды помещений, индивидуальным пре</w:t>
            </w:r>
            <w:r>
              <w:rPr>
                <w:color w:val="auto"/>
                <w:sz w:val="24"/>
                <w:szCs w:val="24"/>
              </w:rPr>
              <w:t>дпринима-телям, оказывающим услуги общего образования на территории Уссурийского городского округа.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2,7%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2,6%</w:t>
            </w:r>
          </w:p>
        </w:tc>
        <w:tc>
          <w:tcPr>
            <w:tcW w:w="450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2,7%</w:t>
            </w: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 постоянной основе проводилось оказание консультативной и методической помощи негосударственным учреждениям по вопросам:</w:t>
            </w:r>
          </w:p>
          <w:p w:rsidR="000765B9" w:rsidRDefault="00DF782C">
            <w:pPr>
              <w:spacing w:line="240" w:lineRule="auto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подготовки и проведения ГИА – 11, ГИА – 9;</w:t>
            </w:r>
          </w:p>
          <w:p w:rsidR="000765B9" w:rsidRDefault="00DF782C">
            <w:pPr>
              <w:spacing w:line="240" w:lineRule="auto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проведение итогового собеседования к допуску ГИА – 9 классов;</w:t>
            </w:r>
          </w:p>
          <w:p w:rsidR="000765B9" w:rsidRDefault="00DF782C">
            <w:pPr>
              <w:spacing w:line="240" w:lineRule="auto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 вопросам подачи заявлений</w:t>
            </w:r>
            <w:r>
              <w:rPr>
                <w:color w:val="auto"/>
                <w:sz w:val="24"/>
                <w:szCs w:val="24"/>
              </w:rPr>
              <w:t xml:space="preserve"> на ГИА – 9, 11 классов;</w:t>
            </w:r>
          </w:p>
          <w:p w:rsidR="000765B9" w:rsidRDefault="00DF782C">
            <w:pPr>
              <w:spacing w:line="240" w:lineRule="auto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проведения Всероссийских проверочных работ;</w:t>
            </w:r>
          </w:p>
          <w:p w:rsidR="000765B9" w:rsidRDefault="00DF782C">
            <w:pPr>
              <w:spacing w:line="240" w:lineRule="auto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проведения регионального этапа всероссийской олимпиады школьников;</w:t>
            </w:r>
          </w:p>
          <w:p w:rsidR="000765B9" w:rsidRDefault="00DF782C">
            <w:pPr>
              <w:spacing w:line="240" w:lineRule="auto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 вопросам участия одаренных детей  в конкурсе на получение стипендии Губернатора Приморского края.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 Рынок услуг дополнительного образования детей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u w:val="single"/>
              </w:rPr>
              <w:lastRenderedPageBreak/>
              <w:t>Текущее состояние</w:t>
            </w:r>
            <w:r>
              <w:rPr>
                <w:i/>
                <w:color w:val="auto"/>
                <w:sz w:val="24"/>
                <w:szCs w:val="24"/>
              </w:rPr>
              <w:t>: В муниципальной образовательной сети округа функционирует:</w:t>
            </w:r>
          </w:p>
          <w:p w:rsidR="000765B9" w:rsidRDefault="00DF782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567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5 учреждений дополнительного образования различных типов и видов, в том числе:</w:t>
            </w:r>
          </w:p>
          <w:p w:rsidR="000765B9" w:rsidRDefault="00DF782C">
            <w:pPr>
              <w:tabs>
                <w:tab w:val="left" w:pos="993"/>
              </w:tabs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 МБОУ ДО «Детско-юношеская спортивная школа»;</w:t>
            </w:r>
          </w:p>
          <w:p w:rsidR="000765B9" w:rsidRDefault="00DF782C">
            <w:pPr>
              <w:tabs>
                <w:tab w:val="left" w:pos="993"/>
              </w:tabs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 МБОУ ДО «Станция юных техников» Уссурийского городского округа;</w:t>
            </w:r>
          </w:p>
          <w:p w:rsidR="000765B9" w:rsidRDefault="00DF782C">
            <w:pPr>
              <w:tabs>
                <w:tab w:val="left" w:pos="993"/>
              </w:tabs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 МБОУ ДО «Центр детского творчества» Уссурийского городского округа;</w:t>
            </w:r>
          </w:p>
          <w:p w:rsidR="000765B9" w:rsidRDefault="00DF782C">
            <w:pPr>
              <w:tabs>
                <w:tab w:val="left" w:pos="993"/>
              </w:tabs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 МБОУ ДО «Центр развития творчества детей и юношества» с. Новоникольска Уссурийского городского округа;</w:t>
            </w:r>
          </w:p>
          <w:p w:rsidR="000765B9" w:rsidRDefault="00DF782C">
            <w:pPr>
              <w:tabs>
                <w:tab w:val="left" w:pos="993"/>
              </w:tabs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 МБОУ ДО «Детс</w:t>
            </w:r>
            <w:r>
              <w:rPr>
                <w:i/>
                <w:color w:val="auto"/>
                <w:sz w:val="24"/>
                <w:szCs w:val="24"/>
              </w:rPr>
              <w:t>кая школа искусств» Уссурийского городского округа.</w:t>
            </w:r>
          </w:p>
          <w:p w:rsidR="000765B9" w:rsidRDefault="00DF782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567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5 негосударственных организаций дополнительного образования, в том числе:</w:t>
            </w:r>
          </w:p>
          <w:p w:rsidR="000765B9" w:rsidRDefault="00DF782C">
            <w:pPr>
              <w:tabs>
                <w:tab w:val="left" w:pos="993"/>
              </w:tabs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 Негосударственное образовательное учреждение дополнительного образования Школа иностранных языков «Полиглот» в г. Уссурийске;</w:t>
            </w:r>
          </w:p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 </w:t>
            </w:r>
            <w:r>
              <w:rPr>
                <w:i/>
                <w:color w:val="auto"/>
                <w:sz w:val="24"/>
                <w:szCs w:val="24"/>
              </w:rPr>
              <w:t>Негосударственное образовательное частное учреждение дополнительного образования «Студия изобразительного искусства и дизайна Арт-Диалог»;</w:t>
            </w:r>
          </w:p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 Общество с ограниченной ответственностью «Диалог культур»;</w:t>
            </w:r>
          </w:p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 Общество с ограниченной ответственностью Центр детског</w:t>
            </w:r>
            <w:r>
              <w:rPr>
                <w:i/>
                <w:color w:val="auto"/>
                <w:sz w:val="24"/>
                <w:szCs w:val="24"/>
              </w:rPr>
              <w:t>о развития «Умка»;</w:t>
            </w:r>
          </w:p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 Центр развития и изучения языков «Панда».</w:t>
            </w:r>
          </w:p>
          <w:p w:rsidR="000765B9" w:rsidRDefault="00DF782C">
            <w:pPr>
              <w:tabs>
                <w:tab w:val="left" w:pos="2694"/>
              </w:tabs>
              <w:spacing w:line="240" w:lineRule="auto"/>
              <w:ind w:firstLine="567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Численность детей, получающих услуги в организациях дополнительного образования всех форм собственности, по данным персонифицированного учета составляет 26700 чел., что соответствует 76,8% от о</w:t>
            </w:r>
            <w:r>
              <w:rPr>
                <w:i/>
                <w:color w:val="auto"/>
                <w:sz w:val="24"/>
                <w:szCs w:val="24"/>
              </w:rPr>
              <w:t>бщей численности детей Уссурийского городского округа в возрасте от 5 до 18 лет.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Консультационная и</w:t>
            </w:r>
            <w:r>
              <w:rPr>
                <w:color w:val="auto"/>
                <w:sz w:val="24"/>
                <w:szCs w:val="24"/>
              </w:rPr>
              <w:t> методичес-кая помощь по вопросам организа-ции образовательной деятельности,получения лицензии, порядка предоставления субсидий индивидуальным предпринимателям, оказывающим услуги    дополнительного образования на территории Уссурийского городского округа.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45,5%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45,5%</w:t>
            </w:r>
          </w:p>
        </w:tc>
        <w:tc>
          <w:tcPr>
            <w:tcW w:w="450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50,0%</w:t>
            </w: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tabs>
                <w:tab w:val="left" w:pos="31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Информирование родителей о сфере услуг дополнительного образования осуществляется по нескольким направлениям:</w:t>
            </w:r>
          </w:p>
          <w:p w:rsidR="000765B9" w:rsidRDefault="00DF782C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 Размещение информации:</w:t>
            </w:r>
          </w:p>
          <w:p w:rsidR="000765B9" w:rsidRDefault="00DF782C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1.1. На информационных сайтах образовательных учреждений и стендах – о сфере услуг дополнительного образования;</w:t>
            </w:r>
          </w:p>
          <w:p w:rsidR="000765B9" w:rsidRDefault="00DF782C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1.2. В средствах массовой информации – о деятельности учреждений дополнительного образования, а также о состоянии и развитии системы дополнитель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ного образования на территории Уссурийского городского округа.</w:t>
            </w:r>
          </w:p>
          <w:p w:rsidR="000765B9" w:rsidRDefault="00DF782C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 Доведение информации на родительских собраниях в образовательных учреждениях до родителей (законных представителей). </w:t>
            </w:r>
          </w:p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Управлением образования и молодежной политики </w:t>
            </w:r>
            <w:r>
              <w:rPr>
                <w:color w:val="auto"/>
                <w:sz w:val="24"/>
                <w:szCs w:val="24"/>
              </w:rPr>
              <w:lastRenderedPageBreak/>
              <w:t>администрации Уссурийского</w:t>
            </w:r>
            <w:r>
              <w:rPr>
                <w:color w:val="auto"/>
                <w:sz w:val="24"/>
                <w:szCs w:val="24"/>
              </w:rPr>
              <w:t xml:space="preserve"> городского округа проводятся консультации и беседы по вопросам организации дополнительного образования. Дополнительно, за 9 месяцев 2023 года проведено следующее мероприятие:</w:t>
            </w:r>
          </w:p>
          <w:p w:rsidR="000765B9" w:rsidRDefault="00DF782C">
            <w:pPr>
              <w:spacing w:line="240" w:lineRule="auto"/>
              <w:ind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 о содействии в реализации дополнительных общеобразовательных программ и доступности образовательных (</w:t>
            </w:r>
            <w:r>
              <w:rPr>
                <w:bCs/>
                <w:color w:val="auto"/>
                <w:sz w:val="24"/>
                <w:szCs w:val="24"/>
              </w:rPr>
              <w:t>81 образовательная организация).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Предоставление грантов в форме субсидий в рамках системы персонифицированного финансирования дополнительного образования детей в Уссурийском городском округе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0,45%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0,45%</w:t>
            </w:r>
          </w:p>
        </w:tc>
        <w:tc>
          <w:tcPr>
            <w:tcW w:w="450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1,4% </w:t>
            </w: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 территории Уссурийского городского округа предоставление грантов в форме субсидий в рамках персонифицированного финансирования дополнительного образования детей осуществляется в рамках </w:t>
            </w: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постановления администрации Уссурийского городского округа от 06 се</w:t>
            </w:r>
            <w:r>
              <w:rPr>
                <w:color w:val="auto"/>
                <w:sz w:val="24"/>
                <w:szCs w:val="24"/>
              </w:rPr>
              <w:t>нтября 2021 года № 2012-НПА «Об утверждении порядка предоставления грантов в форме субсидий в рамках системы персонифицированного финансирования дополнительного образования детей в Уссурийском городском округе».  По результатам конкурсных отборов в 2023 го</w:t>
            </w:r>
            <w:r>
              <w:rPr>
                <w:color w:val="auto"/>
                <w:sz w:val="24"/>
                <w:szCs w:val="24"/>
              </w:rPr>
              <w:t>ду гранты получили 6 муниципальных организаций дополнительного образования.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 Рынок услуг детского отдыха и оздоровления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51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>
              <w:rPr>
                <w:i/>
                <w:color w:val="auto"/>
                <w:sz w:val="24"/>
                <w:szCs w:val="24"/>
              </w:rPr>
              <w:t>: Организация отдыха и оздоровления детей и подростков, обеспечение их занятости в период каникул осуществляется в соответствии с Решением Думы Уссурийского городского округа от 31 мая 2005 года № 240 «О положении об организации отдыха детей в каникулярное</w:t>
            </w:r>
            <w:r>
              <w:rPr>
                <w:i/>
                <w:color w:val="auto"/>
                <w:sz w:val="24"/>
                <w:szCs w:val="24"/>
              </w:rPr>
              <w:t xml:space="preserve"> время, включая мероприятия по обеспечению безопасности их жизни и здоровья на территории Уссурийского городского округа».</w:t>
            </w:r>
          </w:p>
          <w:p w:rsidR="000765B9" w:rsidRDefault="00DF782C">
            <w:pPr>
              <w:tabs>
                <w:tab w:val="left" w:pos="2694"/>
              </w:tabs>
              <w:spacing w:line="240" w:lineRule="auto"/>
              <w:ind w:firstLine="51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В Уссурийском городском округе функционируют два детских лагеря отдыха и оздоровления: МАУ ДОЛ «Надежда», расположенный в с. Кайманов</w:t>
            </w:r>
            <w:r>
              <w:rPr>
                <w:i/>
                <w:color w:val="auto"/>
                <w:sz w:val="24"/>
                <w:szCs w:val="24"/>
              </w:rPr>
              <w:t>ка, вместимость детей в смену 80 человек и детский оздоровительный лагерь развлекательно – игрового центра «Астероид» ИП «Мурашко», расположенный по ул. Новоникольское шоссе, 11а в г. Уссурийске, вместимость детей в смену 200 человек.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Консультационная</w:t>
            </w:r>
            <w:r>
              <w:rPr>
                <w:color w:val="auto"/>
                <w:sz w:val="24"/>
                <w:szCs w:val="24"/>
              </w:rPr>
              <w:t xml:space="preserve"> и методическая помощь индивидуальным пред-принимателям по вопросам организации отдыха и оздоровления детей в соответствии с действующим законодательством.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50,0%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50,0%</w:t>
            </w:r>
          </w:p>
        </w:tc>
        <w:tc>
          <w:tcPr>
            <w:tcW w:w="450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50,0%</w:t>
            </w: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Управлением образования и молодежной политики администрации Уссурийского городского округа проводятся консультации и беседы по вопросам организации детского отдыха и оздоровления. </w:t>
            </w:r>
          </w:p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 9 месяцев 2023 года рассмотрен вопрос (оказаны консультации):</w:t>
            </w:r>
          </w:p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 о формир</w:t>
            </w:r>
            <w:r>
              <w:rPr>
                <w:color w:val="auto"/>
                <w:sz w:val="24"/>
                <w:szCs w:val="24"/>
              </w:rPr>
              <w:t>овании Реестра организаций отдыха и оздоровления детей Приморского края на 2023 год (Детский лагерь «Астероид» (ИП Мурашко В.Н.); МАУ «Детский оздоровительный лагерь «Надежда» ).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  <w:vAlign w:val="center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 Рынок медицинских услуг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tabs>
                <w:tab w:val="left" w:pos="2694"/>
              </w:tabs>
              <w:spacing w:line="240" w:lineRule="auto"/>
              <w:ind w:firstLine="51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>
              <w:rPr>
                <w:i/>
                <w:color w:val="auto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i/>
                <w:color w:val="auto"/>
                <w:sz w:val="24"/>
                <w:szCs w:val="24"/>
                <w:lang w:eastAsia="ru-RU"/>
              </w:rPr>
              <w:t>На</w:t>
            </w:r>
            <w:r>
              <w:rPr>
                <w:i/>
                <w:color w:val="auto"/>
                <w:sz w:val="24"/>
                <w:szCs w:val="24"/>
              </w:rPr>
              <w:t xml:space="preserve"> территории округа осуществляют деятельность 5 краевых государственных бюджетных учреждений здравоохранения: КГБУЗ «Уссурийская центральная городская больница», КГБУЗ «Станция скорой медицинской помощи г. Уссурийск», КГБУЗ «Краевая психиатрическая больница</w:t>
            </w:r>
            <w:r>
              <w:rPr>
                <w:i/>
                <w:color w:val="auto"/>
                <w:sz w:val="24"/>
                <w:szCs w:val="24"/>
              </w:rPr>
              <w:t xml:space="preserve"> № 1», КГБУЗ «Уссурийская стоматологическая поликлиника», КГБУЗ «Дезинфекционная станция г. Уссурийск», а также частное учреждение здравоохранения «Больница «РЖД-Медицина» города Уссурийск» и 91 хозяйствующий субъект частной формы собственности.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5.1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Инфор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мирование частных организаций о порядке использования средств ТП ОМС медицинскими организациями частной формы собственности.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20%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20%</w:t>
            </w:r>
          </w:p>
        </w:tc>
        <w:tc>
          <w:tcPr>
            <w:tcW w:w="450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9,0%</w:t>
            </w: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социальных отношений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tabs>
                <w:tab w:val="left" w:pos="2694"/>
              </w:tabs>
              <w:spacing w:line="240" w:lineRule="auto"/>
              <w:ind w:left="3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Согласно информации территориального фонда обязательного медицинского страхования Приморского края, на территории Уссурийского городского округа 2 частные организации участвуют в реализации территориальных программ медицинского страхования:</w:t>
            </w:r>
          </w:p>
          <w:p w:rsidR="000765B9" w:rsidRDefault="00DF782C">
            <w:pPr>
              <w:tabs>
                <w:tab w:val="left" w:pos="2694"/>
              </w:tabs>
              <w:spacing w:line="240" w:lineRule="auto"/>
              <w:ind w:left="3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 ООО «Клиника </w:t>
            </w:r>
            <w:r>
              <w:rPr>
                <w:color w:val="auto"/>
                <w:sz w:val="24"/>
                <w:szCs w:val="24"/>
              </w:rPr>
              <w:t>лечения боли» (г. Уссурийск, ул. Краснознаменная, 148 «а»);</w:t>
            </w:r>
          </w:p>
          <w:p w:rsidR="000765B9" w:rsidRDefault="00DF782C">
            <w:pPr>
              <w:spacing w:line="240" w:lineRule="auto"/>
              <w:ind w:left="3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</w:rPr>
              <w:t> </w:t>
            </w:r>
            <w:r>
              <w:rPr>
                <w:color w:val="auto"/>
                <w:sz w:val="24"/>
                <w:szCs w:val="24"/>
              </w:rPr>
              <w:t>ЧУЗ «РЖД-Медицина» (г. Уссурийск, пр. Блюхера, 10).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 Рынок выполнения работ по благоустройству городской среды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567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>Текущее состояние: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На территории Уссурийского городского округа услуги по благоустройству оказывают 10 организаций частной формы собственности и АО «УПТС», где 100 % акций (долей) принадлежит администрации Уссурийского городского округа.</w:t>
            </w:r>
          </w:p>
          <w:p w:rsidR="000765B9" w:rsidRDefault="00DF782C">
            <w:pPr>
              <w:spacing w:line="240" w:lineRule="auto"/>
              <w:ind w:firstLine="567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В состав работ по благоустройству, о</w:t>
            </w:r>
            <w:r>
              <w:rPr>
                <w:i/>
                <w:color w:val="000000" w:themeColor="text1"/>
                <w:sz w:val="24"/>
                <w:szCs w:val="24"/>
              </w:rPr>
              <w:t>существляемых на территории Уссурийского городского округа входят: уборка муниципальных территорий, ремонт тротуаров, озеленение, благоустройство пустырей и заброшенных зон, за исключением благоустройства автомобильных дорог.</w:t>
            </w:r>
          </w:p>
          <w:p w:rsidR="000765B9" w:rsidRDefault="00DF782C">
            <w:pPr>
              <w:spacing w:line="240" w:lineRule="auto"/>
              <w:ind w:firstLine="567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В целях привлечения к участию </w:t>
            </w:r>
            <w:r>
              <w:rPr>
                <w:i/>
                <w:color w:val="000000" w:themeColor="text1"/>
                <w:sz w:val="24"/>
                <w:szCs w:val="24"/>
              </w:rPr>
              <w:t>в работах по благоустройству большего количества организаций частной формы собственности закупки на выполнение данных работ проводятся в форме открытых электронных процедур, размещаемых в Единой информационной системе.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6.1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Формирование и размещение информ</w:t>
            </w:r>
            <w:r>
              <w:rPr>
                <w:color w:val="auto"/>
                <w:sz w:val="24"/>
                <w:szCs w:val="24"/>
              </w:rPr>
              <w:t>ационной базы об  организациях,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 w:val="restar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90%</w:t>
            </w:r>
          </w:p>
        </w:tc>
        <w:tc>
          <w:tcPr>
            <w:tcW w:w="314" w:type="pct"/>
            <w:vMerge w:val="restar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90%</w:t>
            </w:r>
          </w:p>
        </w:tc>
        <w:tc>
          <w:tcPr>
            <w:tcW w:w="450" w:type="pct"/>
            <w:vMerge w:val="restar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90%</w:t>
            </w:r>
          </w:p>
        </w:tc>
        <w:tc>
          <w:tcPr>
            <w:tcW w:w="403" w:type="pct"/>
            <w:vMerge w:val="restar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МКУ УГО «СЕЗЗ»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MKУ УГО «СЕЗЗ» сформирована, размещена </w:t>
            </w:r>
            <w:r>
              <w:rPr>
                <w:color w:val="000000" w:themeColor="text1"/>
                <w:sz w:val="24"/>
                <w:szCs w:val="24"/>
              </w:rPr>
              <w:t xml:space="preserve">на официальном сайте администрации Уссурийского городского округа и поддерживается в актуальном состоянии информационная база об организациях, осуществляющих деятельность на рынке благоустройства городской среды: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https://www.adm-ussuriisk.ru/administratio</w:t>
            </w:r>
            <w:r>
              <w:rPr>
                <w:color w:val="000000" w:themeColor="text1"/>
                <w:sz w:val="24"/>
                <w:szCs w:val="24"/>
              </w:rPr>
              <w:t>nUGO/perechen_organizatsiy_okazyvayushchikh_uslugi_po_blagoustroystvu_na_territorii_ussuriyskogo_gorodsko/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/>
          </w:tcPr>
          <w:p w:rsidR="000765B9" w:rsidRDefault="000765B9">
            <w:pPr>
              <w:spacing w:line="240" w:lineRule="auto"/>
              <w:ind w:lef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765B9" w:rsidRDefault="000765B9">
            <w:pPr>
              <w:spacing w:line="240" w:lineRule="auto"/>
              <w:ind w:lef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765B9" w:rsidRDefault="00076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УГО «СЕЗЗ»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целях привлечения хозяйствующих субъектов частной формы собственности, закупки на выполнение работ по благоустройству для муниципальных нужд, разбиты по видам работ, выполняемым в течение года.</w:t>
            </w:r>
          </w:p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9 месяцев 2023 года MKУ УГО «СЕЗЗ» разместило 37 извещени</w:t>
            </w:r>
            <w:r>
              <w:rPr>
                <w:color w:val="000000" w:themeColor="text1"/>
                <w:sz w:val="24"/>
                <w:szCs w:val="24"/>
              </w:rPr>
              <w:t>й о проведении закупок на выполнение работ (услуг) в сфере благоустройства городской среды.</w:t>
            </w:r>
          </w:p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Вся информация о закупках на выполнение работ (услуг) по благоустройству городской среды была размещена в единой информационной системе в сфере закупок (http://zaku</w:t>
            </w:r>
            <w:r>
              <w:rPr>
                <w:color w:val="000000" w:themeColor="text1"/>
                <w:sz w:val="24"/>
                <w:szCs w:val="24"/>
              </w:rPr>
              <w:t>pki.gov.ru).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567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>Текущее состояние</w:t>
            </w:r>
            <w:r>
              <w:rPr>
                <w:i/>
                <w:color w:val="000000" w:themeColor="text1"/>
                <w:sz w:val="24"/>
                <w:szCs w:val="24"/>
              </w:rPr>
              <w:t>: На территории Уссурийского городского округа осуществляют свою деятельност</w:t>
            </w:r>
            <w:r>
              <w:rPr>
                <w:i/>
                <w:color w:val="000000" w:themeColor="text1"/>
                <w:sz w:val="24"/>
                <w:szCs w:val="24"/>
              </w:rPr>
              <w:t>ь по управлению многоквартирными домами 61 лицензированная управляющая организация, из них 60 управляющих организаций частной формы собственности, 1 управляющая организация – ФГБУ «ЦЖКУ», где помещения принадлежат Министерству обороны Российской Федерации.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информационно-разъяснительной компании,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</w:t>
            </w:r>
            <w:r>
              <w:rPr>
                <w:color w:val="000000" w:themeColor="text1"/>
                <w:sz w:val="24"/>
                <w:szCs w:val="24"/>
              </w:rPr>
              <w:t>х и обязанностях в сфере управления жилищным фондом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2022-2025</w:t>
            </w:r>
          </w:p>
        </w:tc>
        <w:tc>
          <w:tcPr>
            <w:tcW w:w="268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450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жилищной политики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9 месяцев 2023 года управлением жилищной политики ад</w:t>
            </w:r>
            <w:r>
              <w:rPr>
                <w:color w:val="000000" w:themeColor="text1"/>
                <w:sz w:val="24"/>
                <w:szCs w:val="24"/>
              </w:rPr>
              <w:t>министрации Уссурийского городского округа по мере необходимости проводилось информирование, посредством рассылки информации на электронную почту, 61 организации, оказывающих услуги по содержанию и текущему ремонту общего имущества в многоквартирных домах.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>
              <w:rPr>
                <w:i/>
                <w:color w:val="auto"/>
                <w:sz w:val="24"/>
                <w:szCs w:val="24"/>
              </w:rPr>
              <w:t>: На территории Уссурийского городского округа осуществляют регу</w:t>
            </w:r>
            <w:r>
              <w:rPr>
                <w:i/>
                <w:color w:val="auto"/>
                <w:sz w:val="24"/>
                <w:szCs w:val="24"/>
              </w:rPr>
              <w:t>лярные перевозки пассажиров и багажа 7 автотранспортных организаций: ООО «Автотранспортник»; ООО «Автоуслуги»; ООО «Дилижанс А»; ИП Черныш Т.Г.; ООО «Дилижанс - Т»; ИП Дойникова О.В.; ИП Хоменко Н.А.</w:t>
            </w:r>
          </w:p>
          <w:p w:rsidR="000765B9" w:rsidRDefault="00DF782C">
            <w:pPr>
              <w:spacing w:line="240" w:lineRule="auto"/>
              <w:ind w:firstLine="567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Согласно реестру муниципальных маршрутов регулярных перевозок пассажиров и багажа, на территории Уссурийского городского округа (далее – реестр) установлено 52 маршрута (35 городских и 17 пригородных).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8.1</w:t>
            </w:r>
          </w:p>
        </w:tc>
        <w:tc>
          <w:tcPr>
            <w:tcW w:w="1257" w:type="pct"/>
            <w:tcBorders>
              <w:right w:val="single" w:sz="4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Размещение информации о критериях конкурсного отб</w:t>
            </w:r>
            <w:r>
              <w:rPr>
                <w:color w:val="auto"/>
                <w:sz w:val="24"/>
                <w:szCs w:val="24"/>
              </w:rPr>
              <w:t>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 w:val="restar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314" w:type="pct"/>
            <w:vMerge w:val="restar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450" w:type="pct"/>
            <w:vMerge w:val="restar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vMerge w:val="restar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pStyle w:val="TableParagraph"/>
              <w:tabs>
                <w:tab w:val="left" w:pos="3440"/>
                <w:tab w:val="left" w:pos="3582"/>
              </w:tabs>
              <w:spacing w:line="225" w:lineRule="auto"/>
              <w:ind w:hanging="6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С целью обеспечения максимальной доступности информации и прозрачности условий работы на рынке пассажирских перевозок наземным транспортом информация о проводимых открытых конкурсах на право осуществления перевозок по маршруту регулярных перевозок размещае</w:t>
            </w:r>
            <w:r>
              <w:rPr>
                <w:rFonts w:eastAsia="Calibri"/>
                <w:color w:val="auto"/>
                <w:sz w:val="24"/>
                <w:szCs w:val="24"/>
              </w:rPr>
              <w:t>тся на официальном сайте Уссурийского городского округа https://www.adm-ussuriisk.ru/konkurs/konkursy_</w:t>
            </w:r>
          </w:p>
          <w:p w:rsidR="000765B9" w:rsidRDefault="00DF782C">
            <w:pPr>
              <w:pStyle w:val="TableParagraph"/>
              <w:tabs>
                <w:tab w:val="left" w:pos="3440"/>
                <w:tab w:val="left" w:pos="3582"/>
              </w:tabs>
              <w:spacing w:line="225" w:lineRule="auto"/>
              <w:ind w:hanging="6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provodimye_na_territorii_ugo/.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8.2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Внесение изменений в реестр муниципальных маршрутов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/>
          </w:tcPr>
          <w:p w:rsidR="000765B9" w:rsidRDefault="000765B9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765B9" w:rsidRDefault="000765B9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765B9" w:rsidRDefault="000765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vMerge w:val="restar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отчетном периоде внесены изменения в реестр муниципальных маршрутов регулярных перевозок пассажиров и багажа на территории Уссурийского городского округа по маршруту № 10б в связи с изменением схемы движения транспортных средств.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8.3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работ по составлению и размещению расписаний на остановочных пунктах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/>
          </w:tcPr>
          <w:p w:rsidR="000765B9" w:rsidRDefault="000765B9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765B9" w:rsidRDefault="000765B9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765B9" w:rsidRDefault="000765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 9 месяцев</w:t>
            </w:r>
            <w:r>
              <w:rPr>
                <w:color w:val="auto"/>
                <w:sz w:val="24"/>
                <w:szCs w:val="24"/>
              </w:rPr>
              <w:t xml:space="preserve"> 2023 года специалистами отдела дорожного хозяйства, благоустройства и транспорта выполнение данных видов работ не проводилось.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 Рынок жилищного строительства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567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>Текущее состояние: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По данным территориального органа Федеральной службы государственной статистики по Приморскому краю по состоянию на 01 сентября  2023 года на рынке строительства зарегистрировано 870 хозяйствующих субъектов всех форм собственности. Предприятия, доминирующ</w:t>
            </w:r>
            <w:r>
              <w:rPr>
                <w:i/>
                <w:color w:val="000000" w:themeColor="text1"/>
                <w:sz w:val="24"/>
                <w:szCs w:val="24"/>
              </w:rPr>
              <w:t>ие на данном рынке, отсутствуют. По состоянию на 01 сентября 2023 года введено жилых домов общей площадью – 99722 кв.м (из них  площадь ИЖС – 52221 кв.м.), что в 1,5 р. больше аналогичного периода 2022 года.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9.1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Размещение генерального плана, правил землепользования и застройки, местных нормативов градостроительного проектирования во ФГИС ТП на официальном сайте администрации Уссурийского городского округа http://adm-ussuriisk.ru/ussuri_borough/grado_deyat/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</w:t>
            </w:r>
            <w:r>
              <w:rPr>
                <w:color w:val="auto"/>
                <w:sz w:val="24"/>
                <w:szCs w:val="24"/>
              </w:rPr>
              <w:t>025</w:t>
            </w:r>
          </w:p>
        </w:tc>
        <w:tc>
          <w:tcPr>
            <w:tcW w:w="268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450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hd w:val="clear" w:color="auto" w:fill="FFFFFF"/>
              <w:spacing w:line="240" w:lineRule="auto"/>
              <w:ind w:firstLine="0"/>
              <w:contextualSpacing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1. Генеральный план Уссурийского городского округа, утвержденный решением Думы Уссурийского городского округа Приморского края от 26.05.2009 года № 52 (ред. от 04.06.2020 № 226) «Об утверждении Генерального плана Уссурийского городского округа» размещен в </w:t>
            </w:r>
            <w:r>
              <w:rPr>
                <w:color w:val="auto"/>
                <w:sz w:val="24"/>
              </w:rPr>
              <w:t>ФГИС ТП и на официальном сайте администрации Уссурийского городского округа https://adm-ussuriisk.ru/ob_okruge/gradostroitelnaya_deyatelnost/dokumenty_territorialnogo_planirovaniya/generalnyy_plan_gorodskogo_okruga/.</w:t>
            </w:r>
          </w:p>
          <w:p w:rsidR="000765B9" w:rsidRDefault="00DF782C">
            <w:pPr>
              <w:shd w:val="clear" w:color="auto" w:fill="FFFFFF"/>
              <w:spacing w:line="240" w:lineRule="auto"/>
              <w:ind w:firstLine="0"/>
              <w:contextualSpacing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 Нормативы градостроительного проекти</w:t>
            </w:r>
            <w:r>
              <w:rPr>
                <w:color w:val="auto"/>
                <w:sz w:val="24"/>
              </w:rPr>
              <w:t xml:space="preserve">рования, утвержденные решением Думы Уссурийского городского округа Приморского края от 25 декабря 2018 г. № 934-НПА «Об утверждении местных нормативов градостроительного проектирования на территории Уссурийского городского округа» размещены в ФГИС ТП и на </w:t>
            </w:r>
            <w:r>
              <w:rPr>
                <w:color w:val="auto"/>
                <w:sz w:val="24"/>
              </w:rPr>
              <w:t>официальном сайте администрации Уссурийского городского округа https://adm-ussuriisk.ru/ob_okruge/utverzhdennye_mestnye_normativy_gradostroitelnogo_proektirovaniya/.</w:t>
            </w:r>
          </w:p>
          <w:p w:rsidR="000765B9" w:rsidRDefault="00DF782C">
            <w:pPr>
              <w:shd w:val="clear" w:color="auto" w:fill="FFFFFF"/>
              <w:spacing w:line="240" w:lineRule="auto"/>
              <w:ind w:firstLine="0"/>
              <w:contextualSpacing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 Правила землепользования и застройки, утвержденные решением Думы муниципального образов</w:t>
            </w:r>
            <w:r>
              <w:rPr>
                <w:color w:val="auto"/>
                <w:sz w:val="24"/>
              </w:rPr>
              <w:t>ания г. Уссурийска и Уссурийского района от 30.11.2004 № 104 размещены в ФГИС ТП и на официальном сайте администрации Уссурийского городского округа https://adm-ussuriisk.ru/ob_okruge/utverzhdennye_pravila_zemlepolzovaniya_i_zastroyki/.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9.2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Опубликование и актуализация на официальном сайте администрации Уссурийского городского округа административных регламентов по предоставлению муниципальных услуг в сфере градостроительства</w:t>
            </w:r>
          </w:p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hyperlink r:id="rId7" w:tooltip="http://adm-ussuriisk.ru/municipal_services/services_function/283-stroitelstvo.html" w:history="1">
              <w:r>
                <w:rPr>
                  <w:color w:val="auto"/>
                  <w:sz w:val="24"/>
                  <w:szCs w:val="24"/>
                </w:rPr>
                <w:t>http://adm-ussuriisk.ru/municipal_services/services_function/283-stroitelstvo.html</w:t>
              </w:r>
            </w:hyperlink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450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tLeast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hd w:val="clear" w:color="auto" w:fill="FFFFFF"/>
              </w:rPr>
              <w:t>Актуальные административные регламенты по предоставлению муниципальных услуг в сфере градостроительства размещены на официальном сайте администрации Уссурийского городского округа https://adm-ussuriisk.ru/ob_okruge/gradostroit</w:t>
            </w:r>
            <w:r>
              <w:rPr>
                <w:color w:val="auto"/>
                <w:sz w:val="24"/>
                <w:shd w:val="clear" w:color="auto" w:fill="FFFFFF"/>
              </w:rPr>
              <w:t>elnaya_deyatelnost/poluchit_uslugu_v_sfere_stroitelstva/</w:t>
            </w:r>
            <w:r>
              <w:rPr>
                <w:rStyle w:val="af2"/>
                <w:color w:val="auto"/>
                <w:u w:val="none"/>
                <w:shd w:val="clear" w:color="auto" w:fill="FFFFFF"/>
              </w:rPr>
              <w:t>.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567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>Текущее состояние: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По данным территориального органа Федеральной службы государственной статистики по Приморскому краю по состоянию на 01 сентября  2023 года на рынке строительства зарегистрировано 870 хозяйствующих субъектов всех форм собственности. Предприятия, доминирующ</w:t>
            </w:r>
            <w:r>
              <w:rPr>
                <w:i/>
                <w:color w:val="000000" w:themeColor="text1"/>
                <w:sz w:val="24"/>
                <w:szCs w:val="24"/>
              </w:rPr>
              <w:t>ие на данном рынке, отсутствуют. По состоянию на 01 сентября 2023 года по данным территориального органа Федеральной службы государственной статистики по Приморскому краю объем работ, выполненных по виду экономической деятельности «Строительство», составил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654,8 млн. руб. (63,3% к аналогичному периоду 2022 года).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10.1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Размещение генерального плана, правил землепользования и застройки, местных нормативов градостроительного проектирования во ФГИС ТП на официальном сайте администрации Уссурийского городского </w:t>
            </w:r>
            <w:r>
              <w:rPr>
                <w:color w:val="auto"/>
                <w:sz w:val="24"/>
                <w:szCs w:val="24"/>
              </w:rPr>
              <w:t xml:space="preserve">округа </w:t>
            </w:r>
          </w:p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hyperlink r:id="rId8" w:tooltip="http://adm-ussuriisk.ru/ussuri_borough/grado_deyat/" w:history="1">
              <w:r>
                <w:rPr>
                  <w:color w:val="auto"/>
                  <w:sz w:val="24"/>
                  <w:szCs w:val="24"/>
                </w:rPr>
                <w:t>http://adm-ussuriisk.ru/ussuri_borough/grado_deyat/</w:t>
              </w:r>
            </w:hyperlink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 w:val="restar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314" w:type="pct"/>
            <w:vMerge w:val="restar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450" w:type="pct"/>
            <w:vMerge w:val="restar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vMerge w:val="restar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hd w:val="clear" w:color="auto" w:fill="FFFFFF"/>
              <w:spacing w:line="240" w:lineRule="auto"/>
              <w:ind w:firstLine="32"/>
              <w:contextualSpacing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1. Генеральный план Уссурийского городского округа, утвержденный решением Думы Уссурийского городского округа Приморского края от 26.05.2009 года № 52 (ред. от 04.06.2020 № 226) «Об утверждении Генерального плана Уссурийского городского округа» размещен в </w:t>
            </w:r>
            <w:r>
              <w:rPr>
                <w:color w:val="auto"/>
                <w:sz w:val="24"/>
              </w:rPr>
              <w:t>ФГИС ТП и на официальном сайте администрации Уссурийского городского округа </w:t>
            </w:r>
            <w:hyperlink r:id="rId9" w:tooltip="https://adm-ussuriisk.ru/ob_okruge/gradostroitelnaya_deyatelnost/dokumenty_territorialnogo_planirovaniya/generalnyy_plan_gorodskogo_okruga/" w:history="1">
              <w:r>
                <w:rPr>
                  <w:rStyle w:val="af2"/>
                  <w:color w:val="auto"/>
                  <w:sz w:val="24"/>
                  <w:u w:val="none"/>
                </w:rPr>
                <w:t>https://adm-ussuriisk.ru/ob_okruge/gradostroitelnaya_deyatelnost/dokumenty_territorialnogo_planirovaniya/generalnyy_plan_gorodskogo_okruga</w:t>
              </w:r>
              <w:r>
                <w:rPr>
                  <w:rStyle w:val="af2"/>
                  <w:color w:val="auto"/>
                  <w:sz w:val="24"/>
                  <w:u w:val="none"/>
                </w:rPr>
                <w:t>/</w:t>
              </w:r>
            </w:hyperlink>
            <w:r>
              <w:rPr>
                <w:rStyle w:val="af2"/>
                <w:color w:val="auto"/>
                <w:sz w:val="24"/>
                <w:u w:val="none"/>
              </w:rPr>
              <w:t>.</w:t>
            </w:r>
          </w:p>
          <w:p w:rsidR="000765B9" w:rsidRDefault="00DF782C">
            <w:pPr>
              <w:shd w:val="clear" w:color="auto" w:fill="FFFFFF"/>
              <w:spacing w:line="240" w:lineRule="auto"/>
              <w:ind w:firstLine="32"/>
              <w:contextualSpacing/>
              <w:rPr>
                <w:color w:val="auto"/>
              </w:rPr>
            </w:pPr>
            <w:r>
              <w:rPr>
                <w:color w:val="auto"/>
                <w:sz w:val="24"/>
              </w:rPr>
              <w:t>2. Нормативы градостроительного проектирования, утвержденные решением Думы Уссурийского городского округа Приморского края от 25 декабря 2018 г. № 934-НПА «Об утверждении местных нормативов градостроительного проектирования на территории Уссурийского</w:t>
            </w:r>
            <w:r>
              <w:rPr>
                <w:color w:val="auto"/>
                <w:sz w:val="24"/>
              </w:rPr>
              <w:t xml:space="preserve"> городского округа» размещены в ФГИС ТП и на официальном сайте администрации Уссурийского городского округа </w:t>
            </w:r>
            <w:hyperlink r:id="rId10" w:tooltip="https://adm-ussuriisk.ru/ob_okruge/utverzhdennye_mestnye_normativy_gradostroitelnogo_proektirovaniya/" w:history="1">
              <w:r>
                <w:rPr>
                  <w:rStyle w:val="af2"/>
                  <w:color w:val="auto"/>
                  <w:sz w:val="24"/>
                  <w:u w:val="none"/>
                </w:rPr>
                <w:t>https://adm-ussuriisk.ru/ob_okruge/utverzhdennye_mestnye_normativy_gradostroitelnogo_proektirovaniya/</w:t>
              </w:r>
            </w:hyperlink>
            <w:r>
              <w:rPr>
                <w:rStyle w:val="af2"/>
                <w:color w:val="auto"/>
                <w:sz w:val="24"/>
                <w:u w:val="none"/>
              </w:rPr>
              <w:t>.</w:t>
            </w:r>
          </w:p>
          <w:p w:rsidR="000765B9" w:rsidRDefault="00DF782C">
            <w:pPr>
              <w:spacing w:line="240" w:lineRule="atLeast"/>
              <w:ind w:firstLine="3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Правила землепользования и застройки, утвержденные решением Думы муниципальн</w:t>
            </w:r>
            <w:r>
              <w:rPr>
                <w:color w:val="auto"/>
                <w:sz w:val="24"/>
              </w:rPr>
              <w:t xml:space="preserve">ого образования г. Уссурийска и Уссурийского района от 30.11.2004 № 104 размещены в ФГИС ТП и на официальном сайте администрации Уссурийского городского округа </w:t>
            </w:r>
            <w:hyperlink r:id="rId11" w:tooltip="https://adm-ussuriisk.ru/ob_okruge/utverzhdennye_pravila_zemlepolzovaniya_i_zastroyki/" w:history="1">
              <w:r>
                <w:rPr>
                  <w:rStyle w:val="af2"/>
                  <w:color w:val="auto"/>
                  <w:sz w:val="24"/>
                  <w:u w:val="none"/>
                </w:rPr>
                <w:t>https://adm-ussuriisk.ru/ob_okruge/utverzhdennye_pravila_zemlepolzovaniya_i_zastroyki/</w:t>
              </w:r>
            </w:hyperlink>
            <w:r>
              <w:rPr>
                <w:rStyle w:val="af2"/>
                <w:color w:val="auto"/>
                <w:sz w:val="24"/>
                <w:u w:val="none"/>
              </w:rPr>
              <w:t>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10.2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Опубликование и актуализация на официальном сайте администрации Уссурийского городского округа административных регламентов по предоставлению муниципальных услуг в сфере градостроительства</w:t>
            </w:r>
          </w:p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ссылка: </w:t>
            </w:r>
            <w:hyperlink r:id="rId12" w:tooltip="http://adm-ussuriisk.ru/municipal_services/services_function/283-stroitelstvo.html" w:history="1">
              <w: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http://adm-ussuriisk.ru/municipal_services/services_function/283-stroitelstvo.html</w:t>
              </w:r>
            </w:hyperlink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(http://adm-ussuriisk.ru/municipal_services/s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ervices_function/286-zemelnye-otnosheniya.html)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/>
          </w:tcPr>
          <w:p w:rsidR="000765B9" w:rsidRDefault="000765B9">
            <w:pPr>
              <w:spacing w:line="240" w:lineRule="auto"/>
              <w:ind w:lef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765B9" w:rsidRDefault="000765B9">
            <w:pPr>
              <w:spacing w:line="240" w:lineRule="auto"/>
              <w:ind w:lef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765B9" w:rsidRDefault="00076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tLeast"/>
              <w:ind w:firstLine="3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Актуальные административные регламенты по предоставлению муниципальных услуг в сфере градостроительства размещены на официальном сайте администрации Уссурийского городского округа </w:t>
            </w:r>
            <w:hyperlink r:id="rId13" w:tooltip="https://adm-ussuriisk.ru/ob_okruge/gradostroitelnaya_deyatelnost/poluchit_uslugu_v_sfere_stroitelstva/" w:history="1">
              <w:r>
                <w:rPr>
                  <w:rStyle w:val="af2"/>
                  <w:color w:val="auto"/>
                  <w:sz w:val="24"/>
                  <w:u w:val="none"/>
                </w:rPr>
                <w:t>https://adm-ussuriisk.ru/ob_okruge/gradostroitelnaya_deyatelnost/poluchit_uslugu_v_sfere_stroitelstva/</w:t>
              </w:r>
            </w:hyperlink>
            <w:r>
              <w:rPr>
                <w:rStyle w:val="af2"/>
                <w:color w:val="auto"/>
                <w:sz w:val="24"/>
                <w:u w:val="none"/>
              </w:rPr>
              <w:t>.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 Рынок дорожной деятельности (за исключением проектирования)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56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>
              <w:rPr>
                <w:i/>
                <w:color w:val="auto"/>
                <w:sz w:val="24"/>
                <w:szCs w:val="24"/>
              </w:rPr>
              <w:t>: На территории Уссурийского городского округа на рынке дорожной деятельности функционируют 10 организаций. Из них 9 организаций частной формы собственности и АО «УПТС», где 100 % акций (долей) принадлежит Уссурийскому городского округа.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11.1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Недопущение </w:t>
            </w:r>
            <w:r>
              <w:rPr>
                <w:color w:val="auto"/>
                <w:sz w:val="24"/>
                <w:szCs w:val="24"/>
              </w:rPr>
              <w:t>укрупнения лотов при проведении закупочных процедур в сфере дорожной деятельности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 w:val="restar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80%</w:t>
            </w:r>
          </w:p>
        </w:tc>
        <w:tc>
          <w:tcPr>
            <w:tcW w:w="314" w:type="pct"/>
            <w:vMerge w:val="restar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80%</w:t>
            </w:r>
          </w:p>
        </w:tc>
        <w:tc>
          <w:tcPr>
            <w:tcW w:w="450" w:type="pct"/>
            <w:vMerge w:val="restar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80%</w:t>
            </w:r>
          </w:p>
        </w:tc>
        <w:tc>
          <w:tcPr>
            <w:tcW w:w="403" w:type="pct"/>
            <w:vMerge w:val="restar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 проведении закупочных процедур не допускается укрупнение лотов, производится разбивка на отдельные закупочные процедуры. Жалоб на укрупнение лотов за анализируемый период не поступало.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11.2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Обеспечение опубликования информации о торгах в единой информационной системе в сфере закупок (</w:t>
            </w:r>
            <w:hyperlink r:id="rId14" w:tooltip="http://zakupki.gov.ru/" w:history="1">
              <w:r>
                <w:rPr>
                  <w:color w:val="auto"/>
                  <w:sz w:val="24"/>
                  <w:szCs w:val="24"/>
                </w:rPr>
                <w:t>http://zakupki.gov.ru</w:t>
              </w:r>
            </w:hyperlink>
            <w:r>
              <w:rPr>
                <w:color w:val="auto"/>
                <w:sz w:val="24"/>
                <w:szCs w:val="24"/>
              </w:rPr>
              <w:t>) на выполнение работ (услуг) в сфере дорожной деятельности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/>
          </w:tcPr>
          <w:p w:rsidR="000765B9" w:rsidRDefault="000765B9">
            <w:pPr>
              <w:spacing w:line="240" w:lineRule="auto"/>
              <w:ind w:lef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765B9" w:rsidRDefault="000765B9">
            <w:pPr>
              <w:spacing w:line="240" w:lineRule="auto"/>
              <w:ind w:lef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765B9" w:rsidRDefault="00076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Вся информация о закупках на выполнение работ (услуг) в сфере дорожной деятельности размещена в единой информационной системе на официальном сайте (</w:t>
            </w:r>
            <w:r>
              <w:rPr>
                <w:color w:val="auto"/>
                <w:sz w:val="24"/>
                <w:szCs w:val="24"/>
                <w:lang w:val="en-US"/>
              </w:rPr>
              <w:t>http</w:t>
            </w:r>
            <w:r>
              <w:rPr>
                <w:color w:val="auto"/>
                <w:sz w:val="24"/>
                <w:szCs w:val="24"/>
              </w:rPr>
              <w:t>://zakupki.gov.ru). За 9 месяцев 2023 года МКУ УГО «СЕЗЗ» проведено 30 закуп</w:t>
            </w:r>
            <w:r>
              <w:rPr>
                <w:color w:val="auto"/>
                <w:sz w:val="24"/>
                <w:szCs w:val="24"/>
              </w:rPr>
              <w:t xml:space="preserve">ок на выполнение работ (услуг) в сфере дорожной деятельности на общую сумму 250 131,28 тыс. руб. 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 Сфера наружной рекламы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567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>Текущее состояние</w:t>
            </w:r>
            <w:r>
              <w:rPr>
                <w:i/>
                <w:color w:val="000000" w:themeColor="text1"/>
                <w:sz w:val="24"/>
                <w:szCs w:val="24"/>
              </w:rPr>
              <w:t>: На территории Уссурийского городского округа в сфере наружной рекламы осуществляют деятельность 23 организации частной формы собственности.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 w:val="restar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314" w:type="pct"/>
            <w:vMerge w:val="restar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450" w:type="pct"/>
            <w:vMerge w:val="restar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403" w:type="pct"/>
            <w:vMerge w:val="restar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tLeast"/>
              <w:ind w:firstLine="3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 итогам 9 месяцев  2023 года выявлено 19 нарушений, связанных с незаконным размещением рекламных конструкций, срок исполнения  предписания в отношении демонтажа которых не истек.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12.2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Актуализация схем размещения рекламных конструкций на официальном сайте администрации Уссурийского городского округа 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/>
          </w:tcPr>
          <w:p w:rsidR="000765B9" w:rsidRDefault="000765B9">
            <w:pPr>
              <w:spacing w:line="240" w:lineRule="auto"/>
              <w:ind w:lef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765B9" w:rsidRDefault="000765B9">
            <w:pPr>
              <w:spacing w:line="240" w:lineRule="auto"/>
              <w:ind w:lef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765B9" w:rsidRDefault="00076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" w:type="pct"/>
            <w:vMerge w:val="restar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uto"/>
              <w:ind w:firstLine="3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На официальном сайте администрации актуализируется схема размещения рекламных конструкций: </w:t>
            </w:r>
          </w:p>
          <w:p w:rsidR="000765B9" w:rsidRDefault="00DF782C">
            <w:pPr>
              <w:spacing w:line="240" w:lineRule="atLeast"/>
              <w:ind w:firstLine="3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en-US"/>
              </w:rPr>
              <w:t>https</w:t>
            </w:r>
            <w:r>
              <w:rPr>
                <w:color w:val="000000" w:themeColor="text1"/>
                <w:sz w:val="24"/>
              </w:rPr>
              <w:t>://</w:t>
            </w:r>
            <w:r>
              <w:rPr>
                <w:color w:val="000000" w:themeColor="text1"/>
                <w:sz w:val="24"/>
                <w:lang w:val="en-US"/>
              </w:rPr>
              <w:t>www</w:t>
            </w:r>
            <w:r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  <w:lang w:val="en-US"/>
              </w:rPr>
              <w:t>adm</w:t>
            </w:r>
            <w:r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  <w:lang w:val="en-US"/>
              </w:rPr>
              <w:t>ussuriisk</w:t>
            </w:r>
            <w:r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  <w:lang w:val="en-US"/>
              </w:rPr>
              <w:t>ru</w:t>
            </w:r>
            <w:r>
              <w:rPr>
                <w:color w:val="000000" w:themeColor="text1"/>
                <w:sz w:val="24"/>
              </w:rPr>
              <w:t>/</w:t>
            </w:r>
            <w:r>
              <w:rPr>
                <w:color w:val="000000" w:themeColor="text1"/>
                <w:sz w:val="24"/>
                <w:lang w:val="en-US"/>
              </w:rPr>
              <w:t>ob</w:t>
            </w:r>
            <w:r>
              <w:rPr>
                <w:color w:val="000000" w:themeColor="text1"/>
                <w:sz w:val="24"/>
              </w:rPr>
              <w:t>_</w:t>
            </w:r>
            <w:r>
              <w:rPr>
                <w:color w:val="000000" w:themeColor="text1"/>
                <w:sz w:val="24"/>
                <w:lang w:val="en-US"/>
              </w:rPr>
              <w:t>okruge</w:t>
            </w:r>
            <w:r>
              <w:rPr>
                <w:color w:val="000000" w:themeColor="text1"/>
                <w:sz w:val="24"/>
              </w:rPr>
              <w:t>/</w:t>
            </w:r>
            <w:r>
              <w:rPr>
                <w:color w:val="000000" w:themeColor="text1"/>
                <w:sz w:val="24"/>
                <w:lang w:val="en-US"/>
              </w:rPr>
              <w:t>razvitie</w:t>
            </w:r>
            <w:r>
              <w:rPr>
                <w:color w:val="000000" w:themeColor="text1"/>
                <w:sz w:val="24"/>
              </w:rPr>
              <w:t>_</w:t>
            </w:r>
            <w:r>
              <w:rPr>
                <w:color w:val="000000" w:themeColor="text1"/>
                <w:sz w:val="24"/>
                <w:lang w:val="en-US"/>
              </w:rPr>
              <w:t>okruga</w:t>
            </w:r>
            <w:r>
              <w:rPr>
                <w:color w:val="000000" w:themeColor="text1"/>
                <w:sz w:val="24"/>
              </w:rPr>
              <w:t>/</w:t>
            </w:r>
          </w:p>
          <w:p w:rsidR="000765B9" w:rsidRDefault="00DF782C">
            <w:pPr>
              <w:spacing w:line="240" w:lineRule="atLeast"/>
              <w:ind w:firstLine="3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en-US"/>
              </w:rPr>
              <w:t>skhemy</w:t>
            </w:r>
            <w:r>
              <w:rPr>
                <w:color w:val="000000" w:themeColor="text1"/>
                <w:sz w:val="24"/>
              </w:rPr>
              <w:t>_</w:t>
            </w:r>
            <w:r>
              <w:rPr>
                <w:color w:val="000000" w:themeColor="text1"/>
                <w:sz w:val="24"/>
                <w:lang w:val="en-US"/>
              </w:rPr>
              <w:t>razmeshcheniya</w:t>
            </w:r>
            <w:r>
              <w:rPr>
                <w:color w:val="000000" w:themeColor="text1"/>
                <w:sz w:val="24"/>
              </w:rPr>
              <w:t>_</w:t>
            </w:r>
            <w:r>
              <w:rPr>
                <w:color w:val="000000" w:themeColor="text1"/>
                <w:sz w:val="24"/>
                <w:lang w:val="en-US"/>
              </w:rPr>
              <w:t>reklamnykh</w:t>
            </w:r>
            <w:r>
              <w:rPr>
                <w:color w:val="000000" w:themeColor="text1"/>
                <w:sz w:val="24"/>
              </w:rPr>
              <w:t>_</w:t>
            </w:r>
            <w:r>
              <w:rPr>
                <w:color w:val="000000" w:themeColor="text1"/>
                <w:sz w:val="24"/>
                <w:lang w:val="en-US"/>
              </w:rPr>
              <w:t>konstruktsiy</w:t>
            </w:r>
            <w:r>
              <w:rPr>
                <w:color w:val="000000" w:themeColor="text1"/>
                <w:sz w:val="24"/>
              </w:rPr>
              <w:t>/.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12.3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Опубликование и актуализация на официальном сайте администрации Уссурийского городского округа административного регламента по предоставлению муниципальной услуги в сфере наружной рекламы </w:t>
            </w:r>
          </w:p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  <w:u w:val="none"/>
                <w:lang w:val="en-US"/>
              </w:rPr>
              <w:t>http</w:t>
            </w:r>
            <w:r>
              <w:rPr>
                <w:rStyle w:val="af2"/>
                <w:color w:val="auto"/>
                <w:sz w:val="24"/>
                <w:szCs w:val="24"/>
                <w:u w:val="none"/>
              </w:rPr>
              <w:t>://</w:t>
            </w:r>
            <w:r>
              <w:rPr>
                <w:rStyle w:val="af2"/>
                <w:color w:val="auto"/>
                <w:sz w:val="24"/>
                <w:szCs w:val="24"/>
                <w:u w:val="none"/>
                <w:lang w:val="en-US"/>
              </w:rPr>
              <w:t>adm</w:t>
            </w:r>
            <w:r>
              <w:rPr>
                <w:rStyle w:val="af2"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f2"/>
                <w:color w:val="auto"/>
                <w:sz w:val="24"/>
                <w:szCs w:val="24"/>
                <w:u w:val="none"/>
                <w:lang w:val="en-US"/>
              </w:rPr>
              <w:t>ussuriisk</w:t>
            </w:r>
            <w:r>
              <w:rPr>
                <w:rStyle w:val="af2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f2"/>
                <w:color w:val="auto"/>
                <w:sz w:val="24"/>
                <w:szCs w:val="24"/>
                <w:u w:val="none"/>
                <w:lang w:val="en-US"/>
              </w:rPr>
              <w:t>ru</w:t>
            </w:r>
            <w:r>
              <w:rPr>
                <w:rStyle w:val="af2"/>
                <w:color w:val="auto"/>
                <w:sz w:val="24"/>
                <w:szCs w:val="24"/>
                <w:u w:val="none"/>
              </w:rPr>
              <w:t>/</w:t>
            </w:r>
            <w:r>
              <w:rPr>
                <w:rStyle w:val="af2"/>
                <w:color w:val="auto"/>
                <w:sz w:val="24"/>
                <w:szCs w:val="24"/>
                <w:u w:val="none"/>
                <w:lang w:val="en-US"/>
              </w:rPr>
              <w:t>municipal</w:t>
            </w:r>
            <w:r>
              <w:rPr>
                <w:rStyle w:val="af2"/>
                <w:color w:val="auto"/>
                <w:sz w:val="24"/>
                <w:szCs w:val="24"/>
                <w:u w:val="none"/>
              </w:rPr>
              <w:t>_</w:t>
            </w:r>
            <w:r>
              <w:rPr>
                <w:rStyle w:val="af2"/>
                <w:color w:val="auto"/>
                <w:sz w:val="24"/>
                <w:szCs w:val="24"/>
                <w:u w:val="none"/>
                <w:lang w:val="en-US"/>
              </w:rPr>
              <w:t>services</w:t>
            </w:r>
            <w:r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  <w:lang w:val="en-US"/>
              </w:rPr>
              <w:t>services</w:t>
            </w:r>
            <w:r>
              <w:rPr>
                <w:color w:val="auto"/>
                <w:sz w:val="24"/>
                <w:szCs w:val="24"/>
              </w:rPr>
              <w:t>_</w:t>
            </w:r>
            <w:r>
              <w:rPr>
                <w:color w:val="auto"/>
                <w:sz w:val="24"/>
                <w:szCs w:val="24"/>
                <w:lang w:val="en-US"/>
              </w:rPr>
              <w:t>function</w:t>
            </w:r>
            <w:r>
              <w:rPr>
                <w:color w:val="auto"/>
                <w:sz w:val="24"/>
                <w:szCs w:val="24"/>
              </w:rPr>
              <w:t>/283-</w:t>
            </w:r>
            <w:r>
              <w:rPr>
                <w:color w:val="auto"/>
                <w:sz w:val="24"/>
                <w:szCs w:val="24"/>
                <w:lang w:val="en-US"/>
              </w:rPr>
              <w:t>stroitelstvo</w:t>
            </w:r>
            <w:r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  <w:lang w:val="en-US"/>
              </w:rPr>
              <w:t>html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/>
          </w:tcPr>
          <w:p w:rsidR="000765B9" w:rsidRDefault="000765B9">
            <w:pPr>
              <w:spacing w:line="240" w:lineRule="auto"/>
              <w:ind w:lef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765B9" w:rsidRDefault="000765B9">
            <w:pPr>
              <w:spacing w:line="240" w:lineRule="auto"/>
              <w:ind w:lef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765B9" w:rsidRDefault="00076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tLeast"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На официальном сайте администрации публикуется и актуализируется административный регламент по предоставлению муниципальной услуги в сфере наружной рекламы: </w:t>
            </w:r>
          </w:p>
          <w:p w:rsidR="000765B9" w:rsidRDefault="00DF782C">
            <w:pPr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http</w:t>
            </w:r>
            <w:r>
              <w:rPr>
                <w:color w:val="000000" w:themeColor="text1"/>
                <w:sz w:val="24"/>
                <w:szCs w:val="24"/>
              </w:rPr>
              <w:t>://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adm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ussuriisk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municipal</w:t>
            </w:r>
            <w:r>
              <w:rPr>
                <w:color w:val="000000" w:themeColor="text1"/>
                <w:sz w:val="24"/>
                <w:szCs w:val="24"/>
              </w:rPr>
              <w:t>_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services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services</w:t>
            </w:r>
            <w:r>
              <w:rPr>
                <w:color w:val="000000" w:themeColor="text1"/>
                <w:sz w:val="24"/>
                <w:szCs w:val="24"/>
              </w:rPr>
              <w:t>_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function</w:t>
            </w:r>
            <w:r>
              <w:rPr>
                <w:color w:val="000000" w:themeColor="text1"/>
                <w:sz w:val="24"/>
                <w:szCs w:val="24"/>
              </w:rPr>
              <w:t>/283-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stroitelstvo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html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 Рынок ритуальных услуг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567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>Текущее состояние</w:t>
            </w:r>
            <w:r>
              <w:rPr>
                <w:i/>
                <w:color w:val="000000" w:themeColor="text1"/>
                <w:sz w:val="24"/>
                <w:szCs w:val="24"/>
              </w:rPr>
              <w:t>: На данный момент на территории Уссурийского городского округа на рынке ритуальных услуг осуществляют деятельность 9 компаний частной формы собственности.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13.1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Формирование и актуализация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450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МКУ УГО «СЕЗЗ»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Информация об организациях, осуществляющих деятельность на рынке ритуальных услуг, размещена на сайте администрации Уссурийского городского округа: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https://www.adm-ussuriisk.ru/administrationUGO/perechen_organizatsiy_okazyvayushchikh_ritualnye_uslugi_/?sp</w:t>
            </w:r>
            <w:r>
              <w:rPr>
                <w:color w:val="000000" w:themeColor="text1"/>
                <w:sz w:val="24"/>
                <w:szCs w:val="24"/>
              </w:rPr>
              <w:t>hrase_id=89387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 Рынок розничной торговли</w:t>
            </w:r>
          </w:p>
        </w:tc>
      </w:tr>
      <w:tr w:rsidR="000765B9">
        <w:trPr>
          <w:trHeight w:val="393"/>
        </w:trPr>
        <w:tc>
          <w:tcPr>
            <w:tcW w:w="5000" w:type="pct"/>
            <w:gridSpan w:val="10"/>
          </w:tcPr>
          <w:p w:rsidR="000765B9" w:rsidRDefault="00DF782C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Обеспеченность торговыми площадями населения Уссурийского городского округа,  согласно  постановлению администрации Приморс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кого края  от 25 января 2017 года  № 18-па «Об утверждении нормативов минимальной обеспеченности населения площадью торговых объектов в Приморском крае», превышает норматив и составляет от 112,1 до 260,3%   (в зависимости от типа торгового  предприятия).  </w:t>
            </w:r>
          </w:p>
          <w:p w:rsidR="000765B9" w:rsidRDefault="00DF782C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>Текущее  состояние</w:t>
            </w:r>
            <w:r>
              <w:rPr>
                <w:i/>
                <w:color w:val="000000" w:themeColor="text1"/>
                <w:sz w:val="24"/>
                <w:szCs w:val="24"/>
              </w:rPr>
              <w:t>:</w:t>
            </w:r>
          </w:p>
          <w:p w:rsidR="000765B9" w:rsidRDefault="00DF782C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По состоянию на 01 октября 2023 года на территории округа осуществляют деятельность 1146 предприятий розничной и мелкорозничной торговой сети, в том числе: </w:t>
            </w:r>
          </w:p>
          <w:p w:rsidR="000765B9" w:rsidRDefault="00DF782C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- магазины розничной торговли – 804 ед., из них: гипермаркеты – 2, супермаркет</w:t>
            </w:r>
            <w:r>
              <w:rPr>
                <w:i/>
                <w:color w:val="000000" w:themeColor="text1"/>
                <w:sz w:val="24"/>
                <w:szCs w:val="24"/>
              </w:rPr>
              <w:t>ы – 10, универмаги – 1, торговые центры – 20, торговые комплексы – 9, магазины – дискаунтеры – 8;</w:t>
            </w:r>
          </w:p>
          <w:p w:rsidR="000765B9" w:rsidRDefault="00DF782C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- объекты мелкорозничной торговой сети – 342 ед., из которых 188 ед. расположены на земельных участках, в зданиях, строениях, сооружениях, находящихся в муниц</w:t>
            </w:r>
            <w:r>
              <w:rPr>
                <w:i/>
                <w:color w:val="000000" w:themeColor="text1"/>
                <w:sz w:val="24"/>
                <w:szCs w:val="24"/>
              </w:rPr>
              <w:t>ипальной собственности, а также на земельных участках, собственность на которые не разграничена, и включенных в Схему размещения нестационарных торговых объектов на территории Уссурийского городского округа, утвержденной постановлением администрации Уссури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йского городского округа от 27 марта 2015 года № 852-НПА «Об утверждении Схемы размещения нестационарных торговых объектов на территории Уссурийского городского округа» (далее - Схема). </w:t>
            </w:r>
          </w:p>
          <w:p w:rsidR="000765B9" w:rsidRDefault="00DF782C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В схему включено  – 203 места для размещения нестационарных торговых </w:t>
            </w:r>
            <w:r>
              <w:rPr>
                <w:i/>
                <w:color w:val="000000" w:themeColor="text1"/>
                <w:sz w:val="24"/>
                <w:szCs w:val="24"/>
              </w:rPr>
              <w:t>объектов (далее – НТО, (из них 135 занято, 68 свободно)), расположенных на земельных участках, в зданиях, строениях, сооружениях, находящихся в муниципальной собственности, а также на земельных участках, собственность на которые не разграничена.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</w:t>
            </w:r>
            <w:r>
              <w:rPr>
                <w:color w:val="000000" w:themeColor="text1"/>
                <w:sz w:val="24"/>
                <w:szCs w:val="24"/>
              </w:rPr>
              <w:t>низация проведения продовольственных (сельскохозяйственных) ярмарок с целью увеличения количества мест для реализации продукции местных товаропроизводителей, сельхозтоваропроизводителей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2022-2025</w:t>
            </w:r>
          </w:p>
        </w:tc>
        <w:tc>
          <w:tcPr>
            <w:tcW w:w="268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417 </w:t>
            </w:r>
          </w:p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430 </w:t>
            </w:r>
          </w:p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450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445 </w:t>
            </w:r>
          </w:p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экономического развития, Управление по работе с территориями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динамику развития рынка розничной торговли положительно влияет развитие ярмарочной торговли, сети нестационарных торговых объектов. По состоянию на 01 октября 2023 года: </w:t>
            </w:r>
          </w:p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Реестр я</w:t>
            </w:r>
            <w:r>
              <w:rPr>
                <w:color w:val="000000" w:themeColor="text1"/>
                <w:sz w:val="24"/>
                <w:szCs w:val="24"/>
              </w:rPr>
              <w:t>рмарочных площадок Уссурийского городского округа включено 12 ярмарочных площадок для проведение ярмарок всех типов и видов с максимальным количеством мест – 1899; из которых на 5 ярмарочных площадках проводятся продовольственные (сельскохозяйственные) ярм</w:t>
            </w:r>
            <w:r>
              <w:rPr>
                <w:color w:val="000000" w:themeColor="text1"/>
                <w:sz w:val="24"/>
                <w:szCs w:val="24"/>
              </w:rPr>
              <w:t>арки, предусматривающие предоставление 445 торговых мест под реализацию продукции местными товаропроизводителями, сельхозтоваропроизводителями и гражданами.</w:t>
            </w:r>
          </w:p>
        </w:tc>
      </w:tr>
      <w:tr w:rsidR="000765B9">
        <w:trPr>
          <w:trHeight w:val="393"/>
        </w:trPr>
        <w:tc>
          <w:tcPr>
            <w:tcW w:w="169" w:type="pct"/>
            <w:gridSpan w:val="2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14.2</w:t>
            </w:r>
          </w:p>
        </w:tc>
        <w:tc>
          <w:tcPr>
            <w:tcW w:w="1257" w:type="pct"/>
          </w:tcPr>
          <w:p w:rsidR="000765B9" w:rsidRDefault="00DF782C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Создание условий для обеспечения жителей Уссурийского городского округа основными продуктами питания по доступным ценам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</w:tcPr>
          <w:p w:rsidR="000765B9" w:rsidRDefault="00DF782C">
            <w:pPr>
              <w:tabs>
                <w:tab w:val="left" w:pos="142"/>
              </w:tabs>
              <w:spacing w:line="240" w:lineRule="auto"/>
              <w:ind w:left="-108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38 ед.</w:t>
            </w:r>
          </w:p>
        </w:tc>
        <w:tc>
          <w:tcPr>
            <w:tcW w:w="314" w:type="pct"/>
          </w:tcPr>
          <w:p w:rsidR="000765B9" w:rsidRDefault="00DF782C">
            <w:pPr>
              <w:spacing w:line="240" w:lineRule="auto"/>
              <w:ind w:lef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 ед.</w:t>
            </w:r>
          </w:p>
        </w:tc>
        <w:tc>
          <w:tcPr>
            <w:tcW w:w="450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ед.</w:t>
            </w:r>
          </w:p>
        </w:tc>
        <w:tc>
          <w:tcPr>
            <w:tcW w:w="403" w:type="pct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1825" w:type="pct"/>
            <w:gridSpan w:val="2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Администрацией Уссурийского городского округа организован мониторинг уровня розничных цен на отдельные виды социально значимых товаров первой необходимости. </w:t>
            </w:r>
          </w:p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состоянию на 01 октября 2023 года 75 предприятий торговли сетевой и несетевой розницы являются </w:t>
            </w:r>
            <w:r>
              <w:rPr>
                <w:color w:val="000000" w:themeColor="text1"/>
                <w:sz w:val="24"/>
                <w:szCs w:val="24"/>
              </w:rPr>
              <w:t>участниками социальных проектов «Приморская рыба», «Доступное Приморье», «Держим цены», «Приморское лучшее», «Карта Приморец», «Добрый хлеб» (в том числе некоторые предприятия торговли участвуют в 2-х и более социальных проектах)</w:t>
            </w:r>
          </w:p>
        </w:tc>
      </w:tr>
    </w:tbl>
    <w:p w:rsidR="000765B9" w:rsidRDefault="000765B9">
      <w:pPr>
        <w:tabs>
          <w:tab w:val="left" w:pos="4758"/>
        </w:tabs>
        <w:ind w:firstLine="0"/>
        <w:rPr>
          <w:color w:val="FF0000"/>
        </w:rPr>
      </w:pPr>
    </w:p>
    <w:p w:rsidR="000765B9" w:rsidRDefault="00DF782C">
      <w:pPr>
        <w:tabs>
          <w:tab w:val="left" w:pos="4758"/>
        </w:tabs>
        <w:spacing w:after="240"/>
        <w:jc w:val="center"/>
      </w:pPr>
      <w:r>
        <w:rPr>
          <w:b/>
          <w:szCs w:val="28"/>
        </w:rPr>
        <w:t>СИСТЕМНЫЕ МЕРОПРИЯТИЯ</w:t>
      </w:r>
    </w:p>
    <w:tbl>
      <w:tblPr>
        <w:tblW w:w="15676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21"/>
        <w:gridCol w:w="2501"/>
        <w:gridCol w:w="2358"/>
        <w:gridCol w:w="1337"/>
        <w:gridCol w:w="1627"/>
        <w:gridCol w:w="1843"/>
        <w:gridCol w:w="2943"/>
      </w:tblGrid>
      <w:tr w:rsidR="000765B9">
        <w:trPr>
          <w:tblHeader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765B9">
        <w:trPr>
          <w:tblHeader/>
        </w:trPr>
        <w:tc>
          <w:tcPr>
            <w:tcW w:w="546" w:type="dxa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0765B9" w:rsidRDefault="00DF782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0765B9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765B9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Предоставление информационной, консультационной и финансовой поддержки субъектам малого и среднего предпринимательства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Низкий уровень информированности субъектов малого и среднего предпринимательства о действующих мерах поддержки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Прирост субъектов малого и среднего предпринимательства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Отчет уполномоченного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 9 месяцев 20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 года администрацией Уссурийского городского округа оказана</w:t>
            </w: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747 индивидуальных консультаций субъектам малого и среднего предпринимательства, в том числе:</w:t>
            </w:r>
          </w:p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 по вопросам финансовой поддержки – 491;</w:t>
            </w:r>
          </w:p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 по вопросу развития деятельности в сфере потребительског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 рынка – 78;</w:t>
            </w:r>
          </w:p>
          <w:p w:rsidR="000765B9" w:rsidRDefault="00DF782C">
            <w:pPr>
              <w:spacing w:line="240" w:lineRule="auto"/>
              <w:ind w:firstLine="0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 по применению норм трудового законодательства при ведении предпринимательской деятельности – 135;</w:t>
            </w:r>
          </w:p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 по вопросам градостроительной деятельности – 43.</w:t>
            </w:r>
          </w:p>
        </w:tc>
      </w:tr>
      <w:tr w:rsidR="000765B9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3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Задача: Обеспечение прозрачности и доступности закупок товаров, работ, услуг, осуществл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яемых в соответствии с Федеральным законом от 04 мая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765B9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Снижение количества случаев осуществления закупки у единственного поставщика (подрядчика, исполнителя) в соответствии с п. 4 и п. 5 ч. 1 ст. 93 Федерального закона № 44-ФЗ</w:t>
            </w:r>
          </w:p>
        </w:tc>
        <w:tc>
          <w:tcPr>
            <w:tcW w:w="2501" w:type="dxa"/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Использование допустимых объемов размещения закупок у единственного поставщика (подр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ядчика, исполнителя)</w:t>
            </w:r>
          </w:p>
        </w:tc>
        <w:tc>
          <w:tcPr>
            <w:tcW w:w="2358" w:type="dxa"/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Оптимизация процедур муниципальных закупок, обеспечение прозрачности и доступности процедуры муниципальных закупок</w:t>
            </w:r>
          </w:p>
        </w:tc>
        <w:tc>
          <w:tcPr>
            <w:tcW w:w="1337" w:type="dxa"/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27" w:type="dxa"/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Отчет по результатам ежеквартального мониторинга закупок</w:t>
            </w:r>
          </w:p>
        </w:tc>
        <w:tc>
          <w:tcPr>
            <w:tcW w:w="1843" w:type="dxa"/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Управление закупок</w:t>
            </w:r>
          </w:p>
        </w:tc>
        <w:tc>
          <w:tcPr>
            <w:tcW w:w="2943" w:type="dxa"/>
            <w:tcBorders>
              <w:right w:val="single" w:sz="6" w:space="0" w:color="000000"/>
            </w:tcBorders>
          </w:tcPr>
          <w:p w:rsidR="000765B9" w:rsidRDefault="00DF782C">
            <w:pPr>
              <w:tabs>
                <w:tab w:val="left" w:pos="459"/>
              </w:tabs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целях обеспечения доступности и прозр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ачности проведения закупок у единственного поставщика в соответствии с пунктами 4,5 части 1 статьи 93 Федерального закона №44-ФЗ «О контрактной системе в сфере закупок товаров, работ, услуг для обеспечения государственных и муниципальных нужд», а также раз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вития конкуренции среди субъектов предпринимательства, на официальном сайте администрации Уссурийского городского округа функционирует информационный сервис «Электронный магазин УГО», направленный на осуществление вышеуказанных закупок.</w:t>
            </w:r>
          </w:p>
          <w:p w:rsidR="000765B9" w:rsidRDefault="00DF782C">
            <w:pPr>
              <w:tabs>
                <w:tab w:val="left" w:pos="459"/>
              </w:tabs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 отчетную дату в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данном сервисе осуществлено 112 закупок товаров, работ, услуг, что привело к заключению 99 контрактов и  экономии бюджетных средств в размере 1 601,00 тыс. рублей.</w:t>
            </w:r>
          </w:p>
          <w:p w:rsidR="000765B9" w:rsidRDefault="00DF782C">
            <w:pPr>
              <w:tabs>
                <w:tab w:val="left" w:pos="459"/>
              </w:tabs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Кроме того, на официальном сайте администрации Уссурийского городского округа в разделе «Зак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упки товаров, работ, услуг УГО» реализуется проект «Витрина закупок Уссурийского городского округа», позволяющий субъектам предпринимательства получать оперативную и достоверную информацию об осуществлении закупок товаров, работ, услуг заказчиками Уссурийс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кого городского округа. </w:t>
            </w:r>
          </w:p>
        </w:tc>
      </w:tr>
      <w:tr w:rsidR="000765B9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Обеспечение осуществления закупок товаров, работ, услуг у субъектов малого предпринимательства и социальноориентированных некоммерческих организаций в соответствии с Федеральным законом № 44-ФЗ</w:t>
            </w:r>
          </w:p>
        </w:tc>
        <w:tc>
          <w:tcPr>
            <w:tcW w:w="2501" w:type="dxa"/>
          </w:tcPr>
          <w:p w:rsidR="000765B9" w:rsidRDefault="00DF782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Несоблюдение заказчиками требований действующего законодательства Российской Федерации о контрактной системе в части осуществления закупок у субъектов малого и среднего предпринимательства и социально ориентированных некоммерческих организаций в объеме 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чем 25% от совокупного годового объема закупок</w:t>
            </w:r>
          </w:p>
        </w:tc>
        <w:tc>
          <w:tcPr>
            <w:tcW w:w="2358" w:type="dxa"/>
          </w:tcPr>
          <w:p w:rsidR="000765B9" w:rsidRDefault="00DF782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25% совокупного годового объема зак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упок</w:t>
            </w:r>
          </w:p>
        </w:tc>
        <w:tc>
          <w:tcPr>
            <w:tcW w:w="1337" w:type="dxa"/>
          </w:tcPr>
          <w:p w:rsidR="000765B9" w:rsidRDefault="00DF782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627" w:type="dxa"/>
          </w:tcPr>
          <w:p w:rsidR="000765B9" w:rsidRDefault="00DF782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результатам ежеквартального мониторинга закупок</w:t>
            </w:r>
          </w:p>
        </w:tc>
        <w:tc>
          <w:tcPr>
            <w:tcW w:w="1843" w:type="dxa"/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Управление закупок</w:t>
            </w:r>
          </w:p>
        </w:tc>
        <w:tc>
          <w:tcPr>
            <w:tcW w:w="2943" w:type="dxa"/>
            <w:tcBorders>
              <w:right w:val="single" w:sz="6" w:space="0" w:color="000000"/>
            </w:tcBorders>
          </w:tcPr>
          <w:p w:rsidR="000765B9" w:rsidRDefault="00DF782C">
            <w:pPr>
              <w:tabs>
                <w:tab w:val="left" w:pos="459"/>
              </w:tabs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 9 месяцев 2023 года заказчиками Уссурийского городского округа (99 заказчиков Уссурийского городского округа):</w:t>
            </w:r>
          </w:p>
          <w:p w:rsidR="000765B9" w:rsidRDefault="00DF782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проведено 500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конкурентных процедур определения поставщиков (подрядчиков, исполнителей);</w:t>
            </w:r>
          </w:p>
          <w:p w:rsidR="000765B9" w:rsidRDefault="00DF782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из них 271 процедура определения поставщиков (подрядчиков, исполнителей) для субъектов малого предпринимательства, что составляет 54 % от общего количества проведенных конкурентных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процедур.</w:t>
            </w:r>
          </w:p>
          <w:p w:rsidR="000765B9" w:rsidRDefault="00DF782C">
            <w:pPr>
              <w:tabs>
                <w:tab w:val="left" w:pos="459"/>
              </w:tabs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Данные показатели по проведенным процедурам позволяют в дальнейшем обеспечить заказчикам необходимую долю закупок у субъектов малого предпринимательства и социально ориентированных некоммерческих организаций, не менее чем 25 % совокупного годовог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 объема.</w:t>
            </w:r>
          </w:p>
        </w:tc>
      </w:tr>
      <w:tr w:rsidR="000765B9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130" w:type="dxa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Задача: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765B9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обучающих мероприятий для граждан, желающих организовать собственное дело, организация совещаний, круглых столов по вопросам развития предпринимательства</w:t>
            </w:r>
          </w:p>
        </w:tc>
        <w:tc>
          <w:tcPr>
            <w:tcW w:w="2501" w:type="dxa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Недостаточный уровень грамотности граждан, желающих организовать собственное дело</w:t>
            </w:r>
          </w:p>
        </w:tc>
        <w:tc>
          <w:tcPr>
            <w:tcW w:w="2358" w:type="dxa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Увеличени</w:t>
            </w:r>
            <w:r>
              <w:rPr>
                <w:color w:val="000000" w:themeColor="text1"/>
                <w:sz w:val="24"/>
                <w:szCs w:val="24"/>
              </w:rPr>
              <w:t>е количества граждан, получивших обучающую услугу</w:t>
            </w:r>
          </w:p>
        </w:tc>
        <w:tc>
          <w:tcPr>
            <w:tcW w:w="1337" w:type="dxa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2022-2025</w:t>
            </w:r>
          </w:p>
        </w:tc>
        <w:tc>
          <w:tcPr>
            <w:tcW w:w="1627" w:type="dxa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Отчет уполномоченного органа</w:t>
            </w:r>
          </w:p>
        </w:tc>
        <w:tc>
          <w:tcPr>
            <w:tcW w:w="1843" w:type="dxa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Управления экономического развития</w:t>
            </w:r>
          </w:p>
          <w:p w:rsidR="000765B9" w:rsidRDefault="000765B9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tcBorders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 итогам 9 месяцев 2023 года администрацией Уссурийского городского округа управлением экономического развития:</w:t>
            </w:r>
          </w:p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>–    Проведена 491</w:t>
            </w:r>
            <w:r>
              <w:rPr>
                <w:rFonts w:eastAsia="Times New Roman"/>
                <w:color w:val="000000" w:themeColor="text1"/>
                <w:sz w:val="24"/>
              </w:rPr>
              <w:t xml:space="preserve"> консультация по вопросам организации собственного дела, развития предпринимательства, получения статуса социального предприятия, финансовой поддержки;</w:t>
            </w:r>
            <w:r>
              <w:rPr>
                <w:rFonts w:eastAsia="Times New Roman"/>
                <w:color w:val="000000" w:themeColor="text1"/>
                <w:sz w:val="24"/>
              </w:rPr>
              <w:br/>
              <w:t>–    Оказано содействие Центру поддержки предпринимательства ООО «Мой бизнес» в г. Уссурийске в проведен</w:t>
            </w:r>
            <w:r>
              <w:rPr>
                <w:rFonts w:eastAsia="Times New Roman"/>
                <w:color w:val="000000" w:themeColor="text1"/>
                <w:sz w:val="24"/>
              </w:rPr>
              <w:t>ии на территории Уссурийского городского округа в период с 03 апреля 2023 года по 03 мая 2023 года обучающего модуля - акселератора «Бизнес от сердца. Муниципалитет» для действующих социальных предпринимателей и потенциальных получателей статуса «социально</w:t>
            </w:r>
            <w:r>
              <w:rPr>
                <w:rFonts w:eastAsia="Times New Roman"/>
                <w:color w:val="000000" w:themeColor="text1"/>
                <w:sz w:val="24"/>
              </w:rPr>
              <w:t>е предприятие». Охват участников - более 50.</w:t>
            </w:r>
          </w:p>
        </w:tc>
      </w:tr>
      <w:tr w:rsidR="000765B9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130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Задача: Развитие механизмов поддержки технического и научно – технического творчества детей и молодежи, обучения их технологической грамотности и основам цифровой экономики</w:t>
            </w:r>
          </w:p>
        </w:tc>
      </w:tr>
      <w:tr w:rsidR="000765B9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4.1.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Обеспечение доступности дополнительного образования детей в сфере научно - технического творчества, в том числе, в области робототехники</w:t>
            </w:r>
          </w:p>
        </w:tc>
        <w:tc>
          <w:tcPr>
            <w:tcW w:w="2501" w:type="dxa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Низкий уровень вовлеченности детей и молодежи</w:t>
            </w:r>
          </w:p>
        </w:tc>
        <w:tc>
          <w:tcPr>
            <w:tcW w:w="2358" w:type="dxa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Увеличение доли детей, получающих дополнительное образование в сфере науч</w:t>
            </w:r>
            <w:r>
              <w:rPr>
                <w:color w:val="auto"/>
                <w:sz w:val="24"/>
                <w:szCs w:val="24"/>
              </w:rPr>
              <w:t xml:space="preserve">но - технического творчества, в том числе в области робототехники, в общей численности детей, получающих дополнительное образование </w:t>
            </w:r>
          </w:p>
        </w:tc>
        <w:tc>
          <w:tcPr>
            <w:tcW w:w="1337" w:type="dxa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1627" w:type="dxa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Отчет в уполномоченный орган</w:t>
            </w:r>
          </w:p>
        </w:tc>
        <w:tc>
          <w:tcPr>
            <w:tcW w:w="1843" w:type="dxa"/>
          </w:tcPr>
          <w:p w:rsidR="000765B9" w:rsidRDefault="00DF782C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Управления образования и молодежной политики</w:t>
            </w:r>
          </w:p>
        </w:tc>
        <w:tc>
          <w:tcPr>
            <w:tcW w:w="2943" w:type="dxa"/>
            <w:tcBorders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 постоянной основе организовано инфор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мирование родителей об услугах дополнительного образования в сфере научно - технического творчества, посредством:</w:t>
            </w:r>
          </w:p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размещения информации на информационных сайтах образовательных учреждений и стендах – о сфере услуг дополнительного образования и в средства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 массовой информации – о деятельности учреждений дополнительного образования, а также о состоянии и развитии системы дополнительного образования на территории Уссурийского городского округа;</w:t>
            </w:r>
          </w:p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доведения информации на родительских собраниях в образовательн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ых учреждениях до родителей (законных представителей).</w:t>
            </w:r>
          </w:p>
        </w:tc>
      </w:tr>
      <w:tr w:rsidR="000765B9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130" w:type="dxa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www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torgi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gov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) и на официальном сайте администрации Уссурийского городского округа</w:t>
            </w:r>
          </w:p>
        </w:tc>
      </w:tr>
      <w:tr w:rsidR="000765B9">
        <w:trPr>
          <w:trHeight w:val="574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Размещение информации о муниципальном имуществе в сети «Интернет»</w:t>
            </w:r>
          </w:p>
        </w:tc>
        <w:tc>
          <w:tcPr>
            <w:tcW w:w="2501" w:type="dxa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Ограниченный перечень муниципального имущества, свободных от прав третьих лиц</w:t>
            </w:r>
          </w:p>
        </w:tc>
        <w:tc>
          <w:tcPr>
            <w:tcW w:w="2358" w:type="dxa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Пополнение перечня муниципального имущества и размещение его на официальном сайте администрации Уссурийского городского округа</w:t>
            </w:r>
          </w:p>
        </w:tc>
        <w:tc>
          <w:tcPr>
            <w:tcW w:w="1337" w:type="dxa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2022-2025</w:t>
            </w:r>
          </w:p>
        </w:tc>
        <w:tc>
          <w:tcPr>
            <w:tcW w:w="1627" w:type="dxa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Отчет в уполномоченный орган</w:t>
            </w:r>
          </w:p>
        </w:tc>
        <w:tc>
          <w:tcPr>
            <w:tcW w:w="1843" w:type="dxa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Управления имущественных отношений</w:t>
            </w:r>
          </w:p>
        </w:tc>
        <w:tc>
          <w:tcPr>
            <w:tcW w:w="2943" w:type="dxa"/>
            <w:tcBorders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Информация о реализации муниципального имущества Уссури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йского городского округа, а также о проводимых конкурентных процедурах по предоставлению муниципального имущества во владение и пользование третьих лиц размещена на официальном сайте www.torgi.gov.ru.</w:t>
            </w:r>
          </w:p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информационно-телекоммуникационной  сети «Интернет» н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 официальном сайте администрации Уссурийского городского округа во вкладке: https://opendata.adm-ussuriisk.ru/datasets/informatsiya-obdministratsii/164492/?recordsPerPage=25&amp;PAGEN_2=1 размещены сведения об объектах имущества, включенных в реестры муниципа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льного имущества. Согласно постановлению администрации Уссурийского городского округа от 01 апреля 2019 года № 712 сведения об объектах имущества, включенных в реестры муниципального имущества, поддерживаются в актуальном состоянии и обновляются ежемесячно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), утвержден решением Думы Уссурийского городского округа                  от 24 декабря 2010  года   № 350-НПА, размещен в информационно-телекоммуникационной  сети «Интернет» на официальном сайте администрации Уссурийского городского округа во вкладке: ht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tps://b24.adm-ussuriisk.ru/table_objects/.</w:t>
            </w:r>
          </w:p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 состоянию на 01 октября 2023 года в Перечень включен 21 объект.</w:t>
            </w:r>
          </w:p>
        </w:tc>
      </w:tr>
      <w:tr w:rsidR="000765B9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5130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Обеспечение приватизации муниципального имущества</w:t>
            </w:r>
          </w:p>
        </w:tc>
      </w:tr>
      <w:tr w:rsidR="000765B9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0765B9" w:rsidRDefault="00DF782C">
            <w:pPr>
              <w:spacing w:line="240" w:lineRule="auto"/>
              <w:ind w:firstLine="3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 на праве хозяйственного ведения, учреждениями на праве оперативного управления</w:t>
            </w:r>
          </w:p>
        </w:tc>
        <w:tc>
          <w:tcPr>
            <w:tcW w:w="2501" w:type="dxa"/>
            <w:vMerge w:val="restart"/>
          </w:tcPr>
          <w:p w:rsidR="000765B9" w:rsidRDefault="00DF782C">
            <w:pPr>
              <w:spacing w:line="240" w:lineRule="auto"/>
              <w:ind w:firstLine="3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2358" w:type="dxa"/>
            <w:vMerge w:val="restart"/>
          </w:tcPr>
          <w:p w:rsidR="000765B9" w:rsidRDefault="00DF782C">
            <w:pPr>
              <w:spacing w:line="240" w:lineRule="auto"/>
              <w:ind w:firstLine="3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Сфо</w:t>
            </w:r>
            <w:r>
              <w:rPr>
                <w:color w:val="000000" w:themeColor="text1"/>
                <w:sz w:val="24"/>
                <w:szCs w:val="24"/>
              </w:rPr>
              <w:t>рмирован перечень муниципального имущества, не соответствующего требованиям отнесения к категории имущества, предназначенного для реализации функций и полномочий органов местного самоуправления</w:t>
            </w:r>
          </w:p>
        </w:tc>
        <w:tc>
          <w:tcPr>
            <w:tcW w:w="1337" w:type="dxa"/>
          </w:tcPr>
          <w:p w:rsidR="000765B9" w:rsidRDefault="00DF782C">
            <w:pPr>
              <w:spacing w:line="240" w:lineRule="auto"/>
              <w:ind w:firstLine="3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627" w:type="dxa"/>
          </w:tcPr>
          <w:p w:rsidR="000765B9" w:rsidRDefault="00DF782C">
            <w:pPr>
              <w:spacing w:line="240" w:lineRule="auto"/>
              <w:ind w:firstLine="3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Распоряжение об утверждении плана-графика инвентаризац</w:t>
            </w:r>
            <w:r>
              <w:rPr>
                <w:color w:val="000000" w:themeColor="text1"/>
                <w:sz w:val="24"/>
                <w:szCs w:val="24"/>
              </w:rPr>
              <w:t>ии муниципального имущества</w:t>
            </w:r>
          </w:p>
        </w:tc>
        <w:tc>
          <w:tcPr>
            <w:tcW w:w="1843" w:type="dxa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2943" w:type="dxa"/>
            <w:tcBorders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План-график инвентаризации муниципального имущества Уссурийского городского округа утвержден распоряжением управления имущественных отношений администрации Уссурийского городского округа от 04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августа 2022 года № 531-р «О проведении инвентаризации муниципального имущества Уссурийского городского округа».</w:t>
            </w:r>
          </w:p>
        </w:tc>
      </w:tr>
      <w:tr w:rsidR="000765B9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0765B9" w:rsidRDefault="00DF782C">
            <w:pPr>
              <w:spacing w:line="240" w:lineRule="auto"/>
              <w:ind w:firstLine="3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инвентаризации муниципального имущества, определение муниципального имущества, не соответствующего требованиям отнесения к 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01" w:type="dxa"/>
            <w:vMerge/>
          </w:tcPr>
          <w:p w:rsidR="000765B9" w:rsidRDefault="000765B9">
            <w:pPr>
              <w:spacing w:line="240" w:lineRule="auto"/>
              <w:ind w:firstLine="30"/>
              <w:rPr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0765B9" w:rsidRDefault="000765B9">
            <w:pPr>
              <w:spacing w:line="240" w:lineRule="auto"/>
              <w:ind w:firstLine="30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2022-2023 гг.</w:t>
            </w:r>
          </w:p>
        </w:tc>
        <w:tc>
          <w:tcPr>
            <w:tcW w:w="1627" w:type="dxa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Утвержденный перечень имущества</w:t>
            </w:r>
          </w:p>
        </w:tc>
        <w:tc>
          <w:tcPr>
            <w:tcW w:w="1843" w:type="dxa"/>
          </w:tcPr>
          <w:p w:rsidR="000765B9" w:rsidRDefault="00DF782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Управления имущественных отношений</w:t>
            </w:r>
          </w:p>
        </w:tc>
        <w:tc>
          <w:tcPr>
            <w:tcW w:w="2943" w:type="dxa"/>
            <w:tcBorders>
              <w:right w:val="single" w:sz="6" w:space="0" w:color="000000"/>
            </w:tcBorders>
          </w:tcPr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Прогнозный план (программа) приватизации муниципального имущества Уссурийского городского округа на 2023 год утвержден решением Думы Уссурийского городского округа от 25 октября 2022 года №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751.</w:t>
            </w:r>
          </w:p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прогнозный план (прог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рамму) приватизации муниципального имущества на 2023 год  включено 16 объектов муниципального имущества, не соответствующего требованиям отнесения к категории имущества, предназначенного для  реализации функций и полномочий органов местного самоуправления.</w:t>
            </w:r>
          </w:p>
          <w:p w:rsidR="000765B9" w:rsidRDefault="00DF782C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Подготовлен и направлен на согласование проект решения Думы Уссурийского городского округа «О внесении изменений в решении Думы Уссурийского городского округа от 25 октября 2022 года № 751 «О прогнозном плане (программе) приватизации муниципального имущес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тва Уссурийского городского округа на 2023», предусматривающий дополнение прогнозного плана 2023 года еще 8-ю объектами.</w:t>
            </w:r>
          </w:p>
        </w:tc>
      </w:tr>
      <w:tr w:rsidR="000765B9">
        <w:trPr>
          <w:trHeight w:val="385"/>
        </w:trPr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</w:tcPr>
          <w:p w:rsidR="000765B9" w:rsidRDefault="00DF78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 xml:space="preserve">6.3. </w:t>
            </w:r>
          </w:p>
        </w:tc>
        <w:tc>
          <w:tcPr>
            <w:tcW w:w="2521" w:type="dxa"/>
            <w:vMerge w:val="restart"/>
            <w:tcBorders>
              <w:left w:val="single" w:sz="6" w:space="0" w:color="000000"/>
              <w:bottom w:val="single" w:sz="4" w:space="0" w:color="000000"/>
            </w:tcBorders>
            <w:shd w:val="clear" w:color="FFFFFF" w:fill="FFFFFF"/>
          </w:tcPr>
          <w:p w:rsidR="000765B9" w:rsidRDefault="00DF78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2501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0765B9" w:rsidRDefault="00DF78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>Неэффективность использования муниципального имущества</w:t>
            </w:r>
          </w:p>
        </w:tc>
        <w:tc>
          <w:tcPr>
            <w:tcW w:w="235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0765B9" w:rsidRDefault="00DF78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>Обеспечена приватизация муниципального имущества, не соответствующего требованиям отнесения к категории имущества, предназначенного для  реализации функций и полномочий органов местного самоуправления</w:t>
            </w:r>
          </w:p>
        </w:tc>
        <w:tc>
          <w:tcPr>
            <w:tcW w:w="1337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0765B9" w:rsidRDefault="00DF78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>2024-2025 гг.</w:t>
            </w:r>
          </w:p>
        </w:tc>
        <w:tc>
          <w:tcPr>
            <w:tcW w:w="1627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0765B9" w:rsidRDefault="00DF78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>отчет об итогах исполнения программы приватизации,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</w:t>
            </w:r>
            <w:r>
              <w:rPr>
                <w:rFonts w:eastAsia="Times New Roman"/>
                <w:color w:val="000000" w:themeColor="text1"/>
                <w:sz w:val="24"/>
              </w:rPr>
              <w:t xml:space="preserve"> 26 декабря 2005 года № 806, решением Думы Уссурийского городского округа от 28 июня 2012 года № 588-НПА «О Положении о порядке принятия решения об условиях приватизации муниципального имущества Уссурийского городского округа»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0765B9" w:rsidRDefault="00DF78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2943" w:type="dxa"/>
            <w:vMerge w:val="restart"/>
            <w:tcBorders>
              <w:bottom w:val="single" w:sz="4" w:space="0" w:color="000000"/>
              <w:right w:val="single" w:sz="6" w:space="0" w:color="000000"/>
            </w:tcBorders>
            <w:shd w:val="clear" w:color="FFFFFF" w:fill="FFFFFF"/>
          </w:tcPr>
          <w:p w:rsidR="000765B9" w:rsidRDefault="00DF78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>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тчет о результатах привати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зации муниципального имущества  Уссурийского городского округа за 2022 год утвержден Решением Думы Уссурийского городского округа от 28 марта 2023 года № 816 «Об утверждении отчета о результатах приватизации муниципального   имущества за  2022 год».</w:t>
            </w:r>
          </w:p>
          <w:p w:rsidR="000765B9" w:rsidRDefault="00DF78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9 м</w:t>
            </w:r>
            <w:r>
              <w:rPr>
                <w:color w:val="000000" w:themeColor="text1"/>
                <w:sz w:val="24"/>
                <w:szCs w:val="24"/>
              </w:rPr>
              <w:t xml:space="preserve">есяцев 2023 года продано 3 объекта,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включенных в прогнозный план (программу) приватизации 2023 года. </w:t>
            </w:r>
          </w:p>
          <w:p w:rsidR="000765B9" w:rsidRDefault="00DF78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Отчет о результатах приватизации муниципального имущества  Уссурийского городского округа за 2023 год будет представлен в Думу Уссурийского городского округа в соответствии с Решением Думы Уссурийского городского округа Приморского края от 28 июня 2012 год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 № 588-НПА «О Положении о порядке принятия решения об условиях приватизации муниципального имущества Уссурийского городского округа» в срок до 01 </w:t>
            </w:r>
            <w:r>
              <w:rPr>
                <w:rFonts w:eastAsia="Times New Roman"/>
                <w:color w:val="000000" w:themeColor="text1"/>
                <w:sz w:val="24"/>
              </w:rPr>
              <w:t>марта 2024 года.</w:t>
            </w:r>
          </w:p>
        </w:tc>
      </w:tr>
    </w:tbl>
    <w:p w:rsidR="00DF782C" w:rsidRDefault="00DF782C"/>
    <w:sectPr w:rsidR="00DF782C">
      <w:headerReference w:type="default" r:id="rId15"/>
      <w:pgSz w:w="16838" w:h="11906" w:orient="landscape"/>
      <w:pgMar w:top="1701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2C" w:rsidRDefault="00DF782C">
      <w:pPr>
        <w:spacing w:line="240" w:lineRule="auto"/>
      </w:pPr>
      <w:r>
        <w:separator/>
      </w:r>
    </w:p>
  </w:endnote>
  <w:endnote w:type="continuationSeparator" w:id="0">
    <w:p w:rsidR="00DF782C" w:rsidRDefault="00DF7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2C" w:rsidRDefault="00DF782C">
      <w:pPr>
        <w:spacing w:line="240" w:lineRule="auto"/>
      </w:pPr>
      <w:r>
        <w:separator/>
      </w:r>
    </w:p>
  </w:footnote>
  <w:footnote w:type="continuationSeparator" w:id="0">
    <w:p w:rsidR="00DF782C" w:rsidRDefault="00DF7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B9" w:rsidRDefault="00DF782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B00D6">
      <w:rPr>
        <w:noProof/>
      </w:rPr>
      <w:t>2</w:t>
    </w:r>
    <w:r>
      <w:fldChar w:fldCharType="end"/>
    </w:r>
  </w:p>
  <w:p w:rsidR="000765B9" w:rsidRDefault="000765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C7E40"/>
    <w:multiLevelType w:val="hybridMultilevel"/>
    <w:tmpl w:val="7F206F38"/>
    <w:lvl w:ilvl="0" w:tplc="4BD0D09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C64E9C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099269C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2C67A1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D4458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7056315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3F8B60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4C664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538A3F3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7371002A"/>
    <w:multiLevelType w:val="hybridMultilevel"/>
    <w:tmpl w:val="F3221842"/>
    <w:lvl w:ilvl="0" w:tplc="0CA469BA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 w:tplc="890298DE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 w:tplc="FE4A090E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 w:tplc="D22C81B4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 w:tplc="67CA094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 w:tplc="D9C2A96C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 w:tplc="FD287FC0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 w:tplc="5CB0544A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 w:tplc="1E701BC6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B9"/>
    <w:rsid w:val="000765B9"/>
    <w:rsid w:val="008B00D6"/>
    <w:rsid w:val="00D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2FB8C-B8DA-4306-B126-56956E66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5">
    <w:name w:val="No Spacing"/>
    <w:uiPriority w:val="1"/>
    <w:qFormat/>
    <w:rPr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1">
    <w:name w:val="Table Grid"/>
    <w:basedOn w:val="a1"/>
    <w:uiPriority w:val="39"/>
    <w:tblPr/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  <w:pPr>
      <w:spacing w:after="200" w:line="276" w:lineRule="auto"/>
    </w:pPr>
    <w:rPr>
      <w:sz w:val="22"/>
      <w:szCs w:val="22"/>
      <w:lang w:eastAsia="en-US"/>
    </w:rPr>
  </w:style>
  <w:style w:type="paragraph" w:styleId="af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/>
  </w:style>
  <w:style w:type="table" w:styleId="12">
    <w:name w:val="Plain Table 1"/>
    <w:basedOn w:val="a1"/>
    <w:uiPriority w:val="59"/>
    <w:tblPr/>
  </w:style>
  <w:style w:type="table" w:styleId="24">
    <w:name w:val="Plain Table 2"/>
    <w:basedOn w:val="a1"/>
    <w:uiPriority w:val="59"/>
    <w:tblPr/>
  </w:style>
  <w:style w:type="table" w:styleId="32">
    <w:name w:val="Plain Table 3"/>
    <w:basedOn w:val="a1"/>
    <w:uiPriority w:val="99"/>
    <w:tblPr/>
  </w:style>
  <w:style w:type="table" w:styleId="42">
    <w:name w:val="Plain Table 4"/>
    <w:basedOn w:val="a1"/>
    <w:uiPriority w:val="99"/>
    <w:tblPr/>
  </w:style>
  <w:style w:type="table" w:styleId="52">
    <w:name w:val="Plain Table 5"/>
    <w:basedOn w:val="a1"/>
    <w:uiPriority w:val="99"/>
    <w:tblPr/>
  </w:style>
  <w:style w:type="table" w:styleId="-1">
    <w:name w:val="Grid Table 1 Light"/>
    <w:basedOn w:val="a1"/>
    <w:uiPriority w:val="99"/>
    <w:tblPr/>
  </w:style>
  <w:style w:type="table" w:customStyle="1" w:styleId="GridTable1Light-Accent1">
    <w:name w:val="Grid Table 1 Light - Accent 1"/>
    <w:basedOn w:val="a1"/>
    <w:uiPriority w:val="99"/>
    <w:tblPr/>
  </w:style>
  <w:style w:type="table" w:customStyle="1" w:styleId="GridTable1Light-Accent2">
    <w:name w:val="Grid Table 1 Light - Accent 2"/>
    <w:basedOn w:val="a1"/>
    <w:uiPriority w:val="99"/>
    <w:tblPr/>
  </w:style>
  <w:style w:type="table" w:customStyle="1" w:styleId="GridTable1Light-Accent3">
    <w:name w:val="Grid Table 1 Light - Accent 3"/>
    <w:basedOn w:val="a1"/>
    <w:uiPriority w:val="99"/>
    <w:tblPr/>
  </w:style>
  <w:style w:type="table" w:customStyle="1" w:styleId="GridTable1Light-Accent4">
    <w:name w:val="Grid Table 1 Light - Accent 4"/>
    <w:basedOn w:val="a1"/>
    <w:uiPriority w:val="99"/>
    <w:tblPr/>
  </w:style>
  <w:style w:type="table" w:customStyle="1" w:styleId="GridTable1Light-Accent5">
    <w:name w:val="Grid Table 1 Light - Accent 5"/>
    <w:basedOn w:val="a1"/>
    <w:uiPriority w:val="99"/>
    <w:tblPr/>
  </w:style>
  <w:style w:type="table" w:customStyle="1" w:styleId="GridTable1Light-Accent6">
    <w:name w:val="Grid Table 1 Light - Accent 6"/>
    <w:basedOn w:val="a1"/>
    <w:uiPriority w:val="99"/>
    <w:tblPr/>
  </w:style>
  <w:style w:type="table" w:styleId="-2">
    <w:name w:val="Grid Table 2"/>
    <w:basedOn w:val="a1"/>
    <w:uiPriority w:val="99"/>
    <w:tblPr/>
  </w:style>
  <w:style w:type="table" w:customStyle="1" w:styleId="GridTable2-Accent1">
    <w:name w:val="Grid Table 2 - Accent 1"/>
    <w:basedOn w:val="a1"/>
    <w:uiPriority w:val="99"/>
    <w:tblPr/>
  </w:style>
  <w:style w:type="table" w:customStyle="1" w:styleId="GridTable2-Accent2">
    <w:name w:val="Grid Table 2 - Accent 2"/>
    <w:basedOn w:val="a1"/>
    <w:uiPriority w:val="99"/>
    <w:tblPr/>
  </w:style>
  <w:style w:type="table" w:customStyle="1" w:styleId="GridTable2-Accent3">
    <w:name w:val="Grid Table 2 - Accent 3"/>
    <w:basedOn w:val="a1"/>
    <w:uiPriority w:val="99"/>
    <w:tblPr/>
  </w:style>
  <w:style w:type="table" w:customStyle="1" w:styleId="GridTable2-Accent4">
    <w:name w:val="Grid Table 2 - Accent 4"/>
    <w:basedOn w:val="a1"/>
    <w:uiPriority w:val="99"/>
    <w:tblPr/>
  </w:style>
  <w:style w:type="table" w:customStyle="1" w:styleId="GridTable2-Accent5">
    <w:name w:val="Grid Table 2 - Accent 5"/>
    <w:basedOn w:val="a1"/>
    <w:uiPriority w:val="99"/>
    <w:tblPr/>
  </w:style>
  <w:style w:type="table" w:customStyle="1" w:styleId="GridTable2-Accent6">
    <w:name w:val="Grid Table 2 - Accent 6"/>
    <w:basedOn w:val="a1"/>
    <w:uiPriority w:val="99"/>
    <w:tblPr/>
  </w:style>
  <w:style w:type="table" w:styleId="-3">
    <w:name w:val="Grid Table 3"/>
    <w:basedOn w:val="a1"/>
    <w:uiPriority w:val="99"/>
    <w:tblPr/>
  </w:style>
  <w:style w:type="table" w:customStyle="1" w:styleId="GridTable3-Accent1">
    <w:name w:val="Grid Table 3 - Accent 1"/>
    <w:basedOn w:val="a1"/>
    <w:uiPriority w:val="99"/>
    <w:tblPr/>
  </w:style>
  <w:style w:type="table" w:customStyle="1" w:styleId="GridTable3-Accent2">
    <w:name w:val="Grid Table 3 - Accent 2"/>
    <w:basedOn w:val="a1"/>
    <w:uiPriority w:val="99"/>
    <w:tblPr/>
  </w:style>
  <w:style w:type="table" w:customStyle="1" w:styleId="GridTable3-Accent3">
    <w:name w:val="Grid Table 3 - Accent 3"/>
    <w:basedOn w:val="a1"/>
    <w:uiPriority w:val="99"/>
    <w:tblPr/>
  </w:style>
  <w:style w:type="table" w:customStyle="1" w:styleId="GridTable3-Accent4">
    <w:name w:val="Grid Table 3 - Accent 4"/>
    <w:basedOn w:val="a1"/>
    <w:uiPriority w:val="99"/>
    <w:tblPr/>
  </w:style>
  <w:style w:type="table" w:customStyle="1" w:styleId="GridTable3-Accent5">
    <w:name w:val="Grid Table 3 - Accent 5"/>
    <w:basedOn w:val="a1"/>
    <w:uiPriority w:val="99"/>
    <w:tblPr/>
  </w:style>
  <w:style w:type="table" w:customStyle="1" w:styleId="GridTable3-Accent6">
    <w:name w:val="Grid Table 3 - Accent 6"/>
    <w:basedOn w:val="a1"/>
    <w:uiPriority w:val="99"/>
    <w:tblPr/>
  </w:style>
  <w:style w:type="table" w:styleId="-4">
    <w:name w:val="Grid Table 4"/>
    <w:basedOn w:val="a1"/>
    <w:uiPriority w:val="59"/>
    <w:tblPr/>
  </w:style>
  <w:style w:type="table" w:customStyle="1" w:styleId="GridTable4-Accent1">
    <w:name w:val="Grid Table 4 - Accent 1"/>
    <w:basedOn w:val="a1"/>
    <w:uiPriority w:val="59"/>
    <w:tblPr/>
  </w:style>
  <w:style w:type="table" w:customStyle="1" w:styleId="GridTable4-Accent2">
    <w:name w:val="Grid Table 4 - Accent 2"/>
    <w:basedOn w:val="a1"/>
    <w:uiPriority w:val="59"/>
    <w:tblPr/>
  </w:style>
  <w:style w:type="table" w:customStyle="1" w:styleId="GridTable4-Accent3">
    <w:name w:val="Grid Table 4 - Accent 3"/>
    <w:basedOn w:val="a1"/>
    <w:uiPriority w:val="59"/>
    <w:tblPr/>
  </w:style>
  <w:style w:type="table" w:customStyle="1" w:styleId="GridTable4-Accent4">
    <w:name w:val="Grid Table 4 - Accent 4"/>
    <w:basedOn w:val="a1"/>
    <w:uiPriority w:val="59"/>
    <w:tblPr/>
  </w:style>
  <w:style w:type="table" w:customStyle="1" w:styleId="GridTable4-Accent5">
    <w:name w:val="Grid Table 4 - Accent 5"/>
    <w:basedOn w:val="a1"/>
    <w:uiPriority w:val="59"/>
    <w:tblPr/>
  </w:style>
  <w:style w:type="table" w:customStyle="1" w:styleId="GridTable4-Accent6">
    <w:name w:val="Grid Table 4 - Accent 6"/>
    <w:basedOn w:val="a1"/>
    <w:uiPriority w:val="59"/>
    <w:tblPr/>
  </w:style>
  <w:style w:type="table" w:styleId="-5">
    <w:name w:val="Grid Table 5 Dark"/>
    <w:basedOn w:val="a1"/>
    <w:uiPriority w:val="99"/>
    <w:tblPr/>
  </w:style>
  <w:style w:type="table" w:customStyle="1" w:styleId="GridTable5Dark-Accent1">
    <w:name w:val="Grid Table 5 Dark- Accent 1"/>
    <w:basedOn w:val="a1"/>
    <w:uiPriority w:val="99"/>
    <w:tblPr/>
  </w:style>
  <w:style w:type="table" w:customStyle="1" w:styleId="GridTable5Dark-Accent2">
    <w:name w:val="Grid Table 5 Dark - Accent 2"/>
    <w:basedOn w:val="a1"/>
    <w:uiPriority w:val="99"/>
    <w:tblPr/>
  </w:style>
  <w:style w:type="table" w:customStyle="1" w:styleId="GridTable5Dark-Accent3">
    <w:name w:val="Grid Table 5 Dark - Accent 3"/>
    <w:basedOn w:val="a1"/>
    <w:uiPriority w:val="99"/>
    <w:tblPr/>
  </w:style>
  <w:style w:type="table" w:customStyle="1" w:styleId="GridTable5Dark-Accent4">
    <w:name w:val="Grid Table 5 Dark- Accent 4"/>
    <w:basedOn w:val="a1"/>
    <w:uiPriority w:val="99"/>
    <w:tblPr/>
  </w:style>
  <w:style w:type="table" w:customStyle="1" w:styleId="GridTable5Dark-Accent5">
    <w:name w:val="Grid Table 5 Dark - Accent 5"/>
    <w:basedOn w:val="a1"/>
    <w:uiPriority w:val="99"/>
    <w:tblPr/>
  </w:style>
  <w:style w:type="table" w:customStyle="1" w:styleId="GridTable5Dark-Accent6">
    <w:name w:val="Grid Table 5 Dark - Accent 6"/>
    <w:basedOn w:val="a1"/>
    <w:uiPriority w:val="99"/>
    <w:tblPr/>
  </w:style>
  <w:style w:type="table" w:styleId="-6">
    <w:name w:val="Grid Table 6 Colorful"/>
    <w:basedOn w:val="a1"/>
    <w:uiPriority w:val="99"/>
    <w:tblPr/>
  </w:style>
  <w:style w:type="table" w:customStyle="1" w:styleId="GridTable6Colorful-Accent1">
    <w:name w:val="Grid Table 6 Colorful - Accent 1"/>
    <w:basedOn w:val="a1"/>
    <w:uiPriority w:val="99"/>
    <w:tblPr/>
  </w:style>
  <w:style w:type="table" w:customStyle="1" w:styleId="GridTable6Colorful-Accent2">
    <w:name w:val="Grid Table 6 Colorful - Accent 2"/>
    <w:basedOn w:val="a1"/>
    <w:uiPriority w:val="99"/>
    <w:tblPr/>
  </w:style>
  <w:style w:type="table" w:customStyle="1" w:styleId="GridTable6Colorful-Accent3">
    <w:name w:val="Grid Table 6 Colorful - Accent 3"/>
    <w:basedOn w:val="a1"/>
    <w:uiPriority w:val="99"/>
    <w:tblPr/>
  </w:style>
  <w:style w:type="table" w:customStyle="1" w:styleId="GridTable6Colorful-Accent4">
    <w:name w:val="Grid Table 6 Colorful - Accent 4"/>
    <w:basedOn w:val="a1"/>
    <w:uiPriority w:val="99"/>
    <w:tblPr/>
  </w:style>
  <w:style w:type="table" w:customStyle="1" w:styleId="GridTable6Colorful-Accent5">
    <w:name w:val="Grid Table 6 Colorful - Accent 5"/>
    <w:basedOn w:val="a1"/>
    <w:uiPriority w:val="99"/>
    <w:tblPr/>
  </w:style>
  <w:style w:type="table" w:customStyle="1" w:styleId="GridTable6Colorful-Accent6">
    <w:name w:val="Grid Table 6 Colorful - Accent 6"/>
    <w:basedOn w:val="a1"/>
    <w:uiPriority w:val="99"/>
    <w:tblPr/>
  </w:style>
  <w:style w:type="table" w:styleId="-7">
    <w:name w:val="Grid Table 7 Colorful"/>
    <w:basedOn w:val="a1"/>
    <w:uiPriority w:val="99"/>
    <w:tblPr/>
  </w:style>
  <w:style w:type="table" w:customStyle="1" w:styleId="GridTable7Colorful-Accent1">
    <w:name w:val="Grid Table 7 Colorful - Accent 1"/>
    <w:basedOn w:val="a1"/>
    <w:uiPriority w:val="99"/>
    <w:tblPr/>
  </w:style>
  <w:style w:type="table" w:customStyle="1" w:styleId="GridTable7Colorful-Accent2">
    <w:name w:val="Grid Table 7 Colorful - Accent 2"/>
    <w:basedOn w:val="a1"/>
    <w:uiPriority w:val="99"/>
    <w:tblPr/>
  </w:style>
  <w:style w:type="table" w:customStyle="1" w:styleId="GridTable7Colorful-Accent3">
    <w:name w:val="Grid Table 7 Colorful - Accent 3"/>
    <w:basedOn w:val="a1"/>
    <w:uiPriority w:val="99"/>
    <w:tblPr/>
  </w:style>
  <w:style w:type="table" w:customStyle="1" w:styleId="GridTable7Colorful-Accent4">
    <w:name w:val="Grid Table 7 Colorful - Accent 4"/>
    <w:basedOn w:val="a1"/>
    <w:uiPriority w:val="99"/>
    <w:tblPr/>
  </w:style>
  <w:style w:type="table" w:customStyle="1" w:styleId="GridTable7Colorful-Accent5">
    <w:name w:val="Grid Table 7 Colorful - Accent 5"/>
    <w:basedOn w:val="a1"/>
    <w:uiPriority w:val="99"/>
    <w:tblPr/>
  </w:style>
  <w:style w:type="table" w:customStyle="1" w:styleId="GridTable7Colorful-Accent6">
    <w:name w:val="Grid Table 7 Colorful - Accent 6"/>
    <w:basedOn w:val="a1"/>
    <w:uiPriority w:val="99"/>
    <w:tblPr/>
  </w:style>
  <w:style w:type="table" w:styleId="-10">
    <w:name w:val="List Table 1 Light"/>
    <w:basedOn w:val="a1"/>
    <w:uiPriority w:val="99"/>
    <w:tblPr/>
  </w:style>
  <w:style w:type="table" w:customStyle="1" w:styleId="ListTable1Light-Accent1">
    <w:name w:val="List Table 1 Light - Accent 1"/>
    <w:basedOn w:val="a1"/>
    <w:uiPriority w:val="99"/>
    <w:tblPr/>
  </w:style>
  <w:style w:type="table" w:customStyle="1" w:styleId="ListTable1Light-Accent2">
    <w:name w:val="List Table 1 Light - Accent 2"/>
    <w:basedOn w:val="a1"/>
    <w:uiPriority w:val="99"/>
    <w:tblPr/>
  </w:style>
  <w:style w:type="table" w:customStyle="1" w:styleId="ListTable1Light-Accent3">
    <w:name w:val="List Table 1 Light - Accent 3"/>
    <w:basedOn w:val="a1"/>
    <w:uiPriority w:val="99"/>
    <w:tblPr/>
  </w:style>
  <w:style w:type="table" w:customStyle="1" w:styleId="ListTable1Light-Accent4">
    <w:name w:val="List Table 1 Light - Accent 4"/>
    <w:basedOn w:val="a1"/>
    <w:uiPriority w:val="99"/>
    <w:tblPr/>
  </w:style>
  <w:style w:type="table" w:customStyle="1" w:styleId="ListTable1Light-Accent5">
    <w:name w:val="List Table 1 Light - Accent 5"/>
    <w:basedOn w:val="a1"/>
    <w:uiPriority w:val="99"/>
    <w:tblPr/>
  </w:style>
  <w:style w:type="table" w:customStyle="1" w:styleId="ListTable1Light-Accent6">
    <w:name w:val="List Table 1 Light - Accent 6"/>
    <w:basedOn w:val="a1"/>
    <w:uiPriority w:val="99"/>
    <w:tblPr/>
  </w:style>
  <w:style w:type="table" w:styleId="-20">
    <w:name w:val="List Table 2"/>
    <w:basedOn w:val="a1"/>
    <w:uiPriority w:val="99"/>
    <w:tblPr/>
  </w:style>
  <w:style w:type="table" w:customStyle="1" w:styleId="ListTable2-Accent1">
    <w:name w:val="List Table 2 - Accent 1"/>
    <w:basedOn w:val="a1"/>
    <w:uiPriority w:val="99"/>
    <w:tblPr/>
  </w:style>
  <w:style w:type="table" w:customStyle="1" w:styleId="ListTable2-Accent2">
    <w:name w:val="List Table 2 - Accent 2"/>
    <w:basedOn w:val="a1"/>
    <w:uiPriority w:val="99"/>
    <w:tblPr/>
  </w:style>
  <w:style w:type="table" w:customStyle="1" w:styleId="ListTable2-Accent3">
    <w:name w:val="List Table 2 - Accent 3"/>
    <w:basedOn w:val="a1"/>
    <w:uiPriority w:val="99"/>
    <w:tblPr/>
  </w:style>
  <w:style w:type="table" w:customStyle="1" w:styleId="ListTable2-Accent4">
    <w:name w:val="List Table 2 - Accent 4"/>
    <w:basedOn w:val="a1"/>
    <w:uiPriority w:val="99"/>
    <w:tblPr/>
  </w:style>
  <w:style w:type="table" w:customStyle="1" w:styleId="ListTable2-Accent5">
    <w:name w:val="List Table 2 - Accent 5"/>
    <w:basedOn w:val="a1"/>
    <w:uiPriority w:val="99"/>
    <w:tblPr/>
  </w:style>
  <w:style w:type="table" w:customStyle="1" w:styleId="ListTable2-Accent6">
    <w:name w:val="List Table 2 - Accent 6"/>
    <w:basedOn w:val="a1"/>
    <w:uiPriority w:val="99"/>
    <w:tblPr/>
  </w:style>
  <w:style w:type="table" w:styleId="-30">
    <w:name w:val="List Table 3"/>
    <w:basedOn w:val="a1"/>
    <w:uiPriority w:val="99"/>
    <w:tblPr/>
  </w:style>
  <w:style w:type="table" w:customStyle="1" w:styleId="ListTable3-Accent1">
    <w:name w:val="List Table 3 - Accent 1"/>
    <w:basedOn w:val="a1"/>
    <w:uiPriority w:val="99"/>
    <w:tblPr/>
  </w:style>
  <w:style w:type="table" w:customStyle="1" w:styleId="ListTable3-Accent2">
    <w:name w:val="List Table 3 - Accent 2"/>
    <w:basedOn w:val="a1"/>
    <w:uiPriority w:val="99"/>
    <w:tblPr/>
  </w:style>
  <w:style w:type="table" w:customStyle="1" w:styleId="ListTable3-Accent3">
    <w:name w:val="List Table 3 - Accent 3"/>
    <w:basedOn w:val="a1"/>
    <w:uiPriority w:val="99"/>
    <w:tblPr/>
  </w:style>
  <w:style w:type="table" w:customStyle="1" w:styleId="ListTable3-Accent4">
    <w:name w:val="List Table 3 - Accent 4"/>
    <w:basedOn w:val="a1"/>
    <w:uiPriority w:val="99"/>
    <w:tblPr/>
  </w:style>
  <w:style w:type="table" w:customStyle="1" w:styleId="ListTable3-Accent5">
    <w:name w:val="List Table 3 - Accent 5"/>
    <w:basedOn w:val="a1"/>
    <w:uiPriority w:val="99"/>
    <w:tblPr/>
  </w:style>
  <w:style w:type="table" w:customStyle="1" w:styleId="ListTable3-Accent6">
    <w:name w:val="List Table 3 - Accent 6"/>
    <w:basedOn w:val="a1"/>
    <w:uiPriority w:val="99"/>
    <w:tblPr/>
  </w:style>
  <w:style w:type="table" w:styleId="-40">
    <w:name w:val="List Table 4"/>
    <w:basedOn w:val="a1"/>
    <w:uiPriority w:val="99"/>
    <w:tblPr/>
  </w:style>
  <w:style w:type="table" w:customStyle="1" w:styleId="ListTable4-Accent1">
    <w:name w:val="List Table 4 - Accent 1"/>
    <w:basedOn w:val="a1"/>
    <w:uiPriority w:val="99"/>
    <w:tblPr/>
  </w:style>
  <w:style w:type="table" w:customStyle="1" w:styleId="ListTable4-Accent2">
    <w:name w:val="List Table 4 - Accent 2"/>
    <w:basedOn w:val="a1"/>
    <w:uiPriority w:val="99"/>
    <w:tblPr/>
  </w:style>
  <w:style w:type="table" w:customStyle="1" w:styleId="ListTable4-Accent3">
    <w:name w:val="List Table 4 - Accent 3"/>
    <w:basedOn w:val="a1"/>
    <w:uiPriority w:val="99"/>
    <w:tblPr/>
  </w:style>
  <w:style w:type="table" w:customStyle="1" w:styleId="ListTable4-Accent4">
    <w:name w:val="List Table 4 - Accent 4"/>
    <w:basedOn w:val="a1"/>
    <w:uiPriority w:val="99"/>
    <w:tblPr/>
  </w:style>
  <w:style w:type="table" w:customStyle="1" w:styleId="ListTable4-Accent5">
    <w:name w:val="List Table 4 - Accent 5"/>
    <w:basedOn w:val="a1"/>
    <w:uiPriority w:val="99"/>
    <w:tblPr/>
  </w:style>
  <w:style w:type="table" w:customStyle="1" w:styleId="ListTable4-Accent6">
    <w:name w:val="List Table 4 - Accent 6"/>
    <w:basedOn w:val="a1"/>
    <w:uiPriority w:val="99"/>
    <w:tblPr/>
  </w:style>
  <w:style w:type="table" w:styleId="-50">
    <w:name w:val="List Table 5 Dark"/>
    <w:basedOn w:val="a1"/>
    <w:uiPriority w:val="99"/>
    <w:tblPr/>
  </w:style>
  <w:style w:type="table" w:customStyle="1" w:styleId="ListTable5Dark-Accent1">
    <w:name w:val="List Table 5 Dark - Accent 1"/>
    <w:basedOn w:val="a1"/>
    <w:uiPriority w:val="99"/>
    <w:tblPr/>
  </w:style>
  <w:style w:type="table" w:customStyle="1" w:styleId="ListTable5Dark-Accent2">
    <w:name w:val="List Table 5 Dark - Accent 2"/>
    <w:basedOn w:val="a1"/>
    <w:uiPriority w:val="99"/>
    <w:tblPr/>
  </w:style>
  <w:style w:type="table" w:customStyle="1" w:styleId="ListTable5Dark-Accent3">
    <w:name w:val="List Table 5 Dark - Accent 3"/>
    <w:basedOn w:val="a1"/>
    <w:uiPriority w:val="99"/>
    <w:tblPr/>
  </w:style>
  <w:style w:type="table" w:customStyle="1" w:styleId="ListTable5Dark-Accent4">
    <w:name w:val="List Table 5 Dark - Accent 4"/>
    <w:basedOn w:val="a1"/>
    <w:uiPriority w:val="99"/>
    <w:tblPr/>
  </w:style>
  <w:style w:type="table" w:customStyle="1" w:styleId="ListTable5Dark-Accent5">
    <w:name w:val="List Table 5 Dark - Accent 5"/>
    <w:basedOn w:val="a1"/>
    <w:uiPriority w:val="99"/>
    <w:tblPr/>
  </w:style>
  <w:style w:type="table" w:customStyle="1" w:styleId="ListTable5Dark-Accent6">
    <w:name w:val="List Table 5 Dark - Accent 6"/>
    <w:basedOn w:val="a1"/>
    <w:uiPriority w:val="99"/>
    <w:tblPr/>
  </w:style>
  <w:style w:type="table" w:styleId="-60">
    <w:name w:val="List Table 6 Colorful"/>
    <w:basedOn w:val="a1"/>
    <w:uiPriority w:val="99"/>
    <w:tblPr/>
  </w:style>
  <w:style w:type="table" w:customStyle="1" w:styleId="ListTable6Colorful-Accent1">
    <w:name w:val="List Table 6 Colorful - Accent 1"/>
    <w:basedOn w:val="a1"/>
    <w:uiPriority w:val="99"/>
    <w:tblPr/>
  </w:style>
  <w:style w:type="table" w:customStyle="1" w:styleId="ListTable6Colorful-Accent2">
    <w:name w:val="List Table 6 Colorful - Accent 2"/>
    <w:basedOn w:val="a1"/>
    <w:uiPriority w:val="99"/>
    <w:tblPr/>
  </w:style>
  <w:style w:type="table" w:customStyle="1" w:styleId="ListTable6Colorful-Accent3">
    <w:name w:val="List Table 6 Colorful - Accent 3"/>
    <w:basedOn w:val="a1"/>
    <w:uiPriority w:val="99"/>
    <w:tblPr/>
  </w:style>
  <w:style w:type="table" w:customStyle="1" w:styleId="ListTable6Colorful-Accent4">
    <w:name w:val="List Table 6 Colorful - Accent 4"/>
    <w:basedOn w:val="a1"/>
    <w:uiPriority w:val="99"/>
    <w:tblPr/>
  </w:style>
  <w:style w:type="table" w:customStyle="1" w:styleId="ListTable6Colorful-Accent5">
    <w:name w:val="List Table 6 Colorful - Accent 5"/>
    <w:basedOn w:val="a1"/>
    <w:uiPriority w:val="99"/>
    <w:tblPr/>
  </w:style>
  <w:style w:type="table" w:customStyle="1" w:styleId="ListTable6Colorful-Accent6">
    <w:name w:val="List Table 6 Colorful - Accent 6"/>
    <w:basedOn w:val="a1"/>
    <w:uiPriority w:val="99"/>
    <w:tblPr/>
  </w:style>
  <w:style w:type="table" w:styleId="-70">
    <w:name w:val="List Table 7 Colorful"/>
    <w:basedOn w:val="a1"/>
    <w:uiPriority w:val="99"/>
    <w:tblPr/>
  </w:style>
  <w:style w:type="table" w:customStyle="1" w:styleId="ListTable7Colorful-Accent1">
    <w:name w:val="List Table 7 Colorful - Accent 1"/>
    <w:basedOn w:val="a1"/>
    <w:uiPriority w:val="99"/>
    <w:tblPr/>
  </w:style>
  <w:style w:type="table" w:customStyle="1" w:styleId="ListTable7Colorful-Accent2">
    <w:name w:val="List Table 7 Colorful - Accent 2"/>
    <w:basedOn w:val="a1"/>
    <w:uiPriority w:val="99"/>
    <w:tblPr/>
  </w:style>
  <w:style w:type="table" w:customStyle="1" w:styleId="ListTable7Colorful-Accent3">
    <w:name w:val="List Table 7 Colorful - Accent 3"/>
    <w:basedOn w:val="a1"/>
    <w:uiPriority w:val="99"/>
    <w:tblPr/>
  </w:style>
  <w:style w:type="table" w:customStyle="1" w:styleId="ListTable7Colorful-Accent4">
    <w:name w:val="List Table 7 Colorful - Accent 4"/>
    <w:basedOn w:val="a1"/>
    <w:uiPriority w:val="99"/>
    <w:tblPr/>
  </w:style>
  <w:style w:type="table" w:customStyle="1" w:styleId="ListTable7Colorful-Accent5">
    <w:name w:val="List Table 7 Colorful - Accent 5"/>
    <w:basedOn w:val="a1"/>
    <w:uiPriority w:val="99"/>
    <w:tblPr/>
  </w:style>
  <w:style w:type="table" w:customStyle="1" w:styleId="ListTable7Colorful-Accent6">
    <w:name w:val="List Table 7 Colorful - Accent 6"/>
    <w:basedOn w:val="a1"/>
    <w:uiPriority w:val="99"/>
    <w:tblPr/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/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/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/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/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/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/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/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/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/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/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/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/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/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/>
  </w:style>
  <w:style w:type="table" w:customStyle="1" w:styleId="Bordered">
    <w:name w:val="Bordered"/>
    <w:basedOn w:val="a1"/>
    <w:uiPriority w:val="99"/>
    <w:tblPr/>
  </w:style>
  <w:style w:type="table" w:customStyle="1" w:styleId="Bordered-Accent1">
    <w:name w:val="Bordered - Accent 1"/>
    <w:basedOn w:val="a1"/>
    <w:uiPriority w:val="99"/>
    <w:tblPr/>
  </w:style>
  <w:style w:type="table" w:customStyle="1" w:styleId="Bordered-Accent2">
    <w:name w:val="Bordered - Accent 2"/>
    <w:basedOn w:val="a1"/>
    <w:uiPriority w:val="99"/>
    <w:tblPr/>
  </w:style>
  <w:style w:type="table" w:customStyle="1" w:styleId="Bordered-Accent3">
    <w:name w:val="Bordered - Accent 3"/>
    <w:basedOn w:val="a1"/>
    <w:uiPriority w:val="99"/>
    <w:tblPr/>
  </w:style>
  <w:style w:type="table" w:customStyle="1" w:styleId="Bordered-Accent4">
    <w:name w:val="Bordered - Accent 4"/>
    <w:basedOn w:val="a1"/>
    <w:uiPriority w:val="99"/>
    <w:tblPr/>
  </w:style>
  <w:style w:type="table" w:customStyle="1" w:styleId="Bordered-Accent5">
    <w:name w:val="Bordered - Accent 5"/>
    <w:basedOn w:val="a1"/>
    <w:uiPriority w:val="99"/>
    <w:tblPr/>
  </w:style>
  <w:style w:type="table" w:customStyle="1" w:styleId="Bordered-Accent6">
    <w:name w:val="Bordered - Accent 6"/>
    <w:basedOn w:val="a1"/>
    <w:uiPriority w:val="99"/>
    <w:tblPr/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customStyle="1" w:styleId="a4">
    <w:name w:val="Абзац списка Знак"/>
    <w:link w:val="a3"/>
    <w:uiPriority w:val="34"/>
  </w:style>
  <w:style w:type="paragraph" w:customStyle="1" w:styleId="TableParagraph">
    <w:name w:val="Table Paragraph"/>
    <w:basedOn w:val="a"/>
    <w:uiPriority w:val="1"/>
    <w:qFormat/>
    <w:pPr>
      <w:widowControl w:val="0"/>
      <w:spacing w:line="240" w:lineRule="auto"/>
      <w:ind w:firstLine="0"/>
      <w:jc w:val="left"/>
    </w:pPr>
    <w:rPr>
      <w:rFonts w:eastAsia="Times New Roman"/>
      <w:sz w:val="22"/>
    </w:rPr>
  </w:style>
  <w:style w:type="paragraph" w:customStyle="1" w:styleId="ConsPlusNormal">
    <w:name w:val="ConsPlusNormal"/>
    <w:qFormat/>
    <w:pPr>
      <w:widowControl w:val="0"/>
      <w:spacing w:after="160" w:line="259" w:lineRule="auto"/>
    </w:pPr>
    <w:rPr>
      <w:rFonts w:eastAsia="Times New Roman" w:cs="Calibri"/>
      <w:sz w:val="22"/>
    </w:rPr>
  </w:style>
  <w:style w:type="paragraph" w:styleId="afb">
    <w:name w:val="Balloon Text"/>
    <w:basedOn w:val="a"/>
    <w:link w:val="afc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afd">
    <w:name w:val="annotation reference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Pr>
      <w:rFonts w:ascii="Times New Roman" w:hAnsi="Times New Roman"/>
      <w:color w:val="000000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ad">
    <w:name w:val="Верхний колонтитул Знак"/>
    <w:link w:val="ac"/>
    <w:uiPriority w:val="99"/>
    <w:rPr>
      <w:rFonts w:ascii="Times New Roman" w:hAnsi="Times New Roman"/>
      <w:color w:val="000000"/>
      <w:sz w:val="28"/>
    </w:rPr>
  </w:style>
  <w:style w:type="character" w:customStyle="1" w:styleId="af">
    <w:name w:val="Нижний колонтитул Знак"/>
    <w:link w:val="ae"/>
    <w:uiPriority w:val="99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ssuriisk.ru/ussuri_borough/grado_deyat/" TargetMode="External"/><Relationship Id="rId13" Type="http://schemas.openxmlformats.org/officeDocument/2006/relationships/hyperlink" Target="https://adm-ussuriisk.ru/ob_okruge/gradostroitelnaya_deyatelnost/poluchit_uslugu_v_sfere_stroitel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ussuriisk.ru/municipal_services/services_function/283-stroitelstvo.html" TargetMode="External"/><Relationship Id="rId12" Type="http://schemas.openxmlformats.org/officeDocument/2006/relationships/hyperlink" Target="http://adm-ussuriisk.ru/municipal_services/services_function/283-stroitelstv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-ussuriisk.ru/ob_okruge/utverzhdennye_pravila_zemlepolzovaniya_i_zastroyk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dm-ussuriisk.ru/ob_okruge/utverzhdennye_mestnye_normativy_gradostroitelnogo_proektir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-ussuriisk.ru/ob_okruge/gradostroitelnaya_deyatelnost/dokumenty_territorialnogo_planirovaniya/generalnyy_plan_gorodskogo_okruga/" TargetMode="External"/><Relationship Id="rId1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6424</Words>
  <Characters>36619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Сапонова</dc:creator>
  <cp:lastModifiedBy>Полякова Надежда Сергеевна</cp:lastModifiedBy>
  <cp:revision>2</cp:revision>
  <dcterms:created xsi:type="dcterms:W3CDTF">2023-10-20T07:00:00Z</dcterms:created>
  <dcterms:modified xsi:type="dcterms:W3CDTF">2023-10-20T07:00:00Z</dcterms:modified>
  <cp:version>917504</cp:version>
</cp:coreProperties>
</file>