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</w:t>
      </w:r>
      <w:r>
        <w:rPr>
          <w:rFonts w:ascii="Times New Roman" w:hAnsi="Times New Roman"/>
          <w:sz w:val="24"/>
          <w:szCs w:val="24"/>
        </w:rPr>
        <w:t xml:space="preserve"> проведения заседаний</w:t>
      </w:r>
      <w:r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улучшению инвестиционного климата и развитию предпринимательства при администрации Уссурийского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привлечением КНО</w:t>
      </w:r>
      <w:r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 xml:space="preserve">4 год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66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2"/>
        <w:gridCol w:w="4960"/>
        <w:gridCol w:w="3687"/>
      </w:tblGrid>
      <w:tr>
        <w:tblPrEx/>
        <w:trPr>
          <w:trHeight w:val="604"/>
        </w:trPr>
        <w:tc>
          <w:tcPr>
            <w:tcW w:w="124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  <w:t xml:space="preserve">24 января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r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</w:pP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  <w:t xml:space="preserve">1. Презентация инвестиционного профиля Уссурийского городского округа</w:t>
            </w: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</w: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Глава 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cantSplit/>
          <w:trHeight w:val="591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ind w:left="34"/>
              <w:jc w:val="both"/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</w:pP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  <w:t xml:space="preserve">2. Утверждение доклада о состоянии и развитии конкурентной среды на рынках товаров, работ и услуг на территории  Уссурийского городского округа по итогам 2023 года</w:t>
            </w: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</w: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</w:r>
          </w:p>
          <w:p>
            <w:pPr>
              <w:pStyle w:val="866"/>
              <w:ind w:left="34"/>
              <w:jc w:val="both"/>
              <w:rPr>
                <w:rFonts w:ascii="Times New Roman" w:hAnsi="Times New Roman"/>
                <w:color w:val="151515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</w: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экономического развития администрации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cantSplit/>
          <w:trHeight w:val="591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ind w:firstLine="34"/>
              <w:jc w:val="both"/>
              <w:rPr>
                <w:rFonts w:ascii="Times New Roman" w:hAnsi="Times New Roman"/>
                <w:color w:val="151515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  <w:t xml:space="preserve">3. Утверждение доклада об организации  системы внутреннего обеспечения соответствия требованиям антимонопольного законодательства (антимонопольного комплаенса) в  администрации Уссурийского городского округа</w:t>
            </w: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</w:rPr>
            </w:r>
          </w:p>
          <w:p>
            <w:pPr>
              <w:pStyle w:val="866"/>
              <w:ind w:firstLine="34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151515"/>
                <w:sz w:val="20"/>
                <w:szCs w:val="18"/>
                <w:highlight w:val="none"/>
                <w:shd w:val="clear" w:color="auto" w:fill="fbfbfb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Нормативно-правовое управление администрации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cantSplit/>
          <w:trHeight w:val="646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ind w:left="34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4. О внесении изменений в Перечень муниципального имущества 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имущественных отношений администрации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cantSplit/>
          <w:trHeight w:val="382"/>
        </w:trPr>
        <w:tc>
          <w:tcPr>
            <w:tcW w:w="124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  <w:t xml:space="preserve">27 м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  <w:t xml:space="preserve">арт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  <w:t xml:space="preserve">а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</w:p>
          <w:p>
            <w:pPr>
              <w:pStyle w:val="866"/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</w:p>
          <w:p>
            <w:r/>
            <w:r/>
          </w:p>
          <w:p>
            <w:r/>
            <w:r/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1.1 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Декларационная компания 2024 года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1.2 Институт внедрения ЕНС (актуальные вопросы)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Межрайонная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ИФНС №9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по Приморскому краю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trHeight w:val="410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  <w:t xml:space="preserve">. Итоги работы отдела муниципального земельного контроля управления градостроительства администрации Уссурийского городского округа за 2023 год</w:t>
            </w: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градостроительства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blPrEx/>
        <w:trPr>
          <w:trHeight w:val="410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  <w:t xml:space="preserve">3. Итоги работы по реализации полномочий органов местного самоуправления по осуществлению муниципального жилищного контроля за 2023 год</w:t>
            </w: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жилищной политики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trHeight w:val="390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4. 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  <w:t xml:space="preserve">О результатах проведения процедуры оценки регулирующего воздействия проектов муниципальных правовых актов по итогам первого квартала 2024 года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экономического развития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blPrEx/>
        <w:trPr>
          <w:cantSplit/>
          <w:trHeight w:val="1060"/>
        </w:trPr>
        <w:tc>
          <w:tcPr>
            <w:tcW w:w="124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  <w:t xml:space="preserve">26 июня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</w:p>
          <w:p>
            <w:pPr>
              <w:pStyle w:val="866"/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</w:p>
          <w:p>
            <w:pPr>
              <w:pStyle w:val="866"/>
              <w:jc w:val="left"/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18"/>
                <w:highlight w:val="none"/>
              </w:rPr>
            </w:r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1. Защита прав потребителей в условиях моратория на проведение проверок 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Территориальный отдел Управления Федеральной службы по надзору в сфере защиты прав потребителей и благополучия человека по Приморскому краю в г. Уссурийске</w:t>
            </w:r>
            <w:r>
              <w:rPr>
                <w:rFonts w:ascii="Times New Roman" w:hAnsi="Times New Roman"/>
                <w:sz w:val="20"/>
                <w:highlight w:val="none"/>
              </w:rPr>
            </w:r>
            <w:r>
              <w:rPr>
                <w:rFonts w:ascii="Times New Roman" w:hAnsi="Times New Roman"/>
                <w:sz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trHeight w:val="1060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</w:r>
            <w:r>
              <w:rPr>
                <w:rFonts w:ascii="Times New Roman" w:hAnsi="Times New Roman"/>
                <w:sz w:val="20"/>
                <w:szCs w:val="18"/>
              </w:rPr>
            </w:r>
            <w:r>
              <w:rPr>
                <w:rFonts w:ascii="Times New Roman" w:hAnsi="Times New Roman"/>
                <w:sz w:val="20"/>
                <w:szCs w:val="18"/>
              </w:rPr>
            </w:r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2.Повышение рентабельности за счет самостоятельного экспорта продукции, произведенной субъектами предпринимательства, на внешние рынки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Уссурийская таможня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trHeight w:val="1060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</w:r>
            <w:r>
              <w:rPr>
                <w:rFonts w:ascii="Times New Roman" w:hAnsi="Times New Roman"/>
                <w:sz w:val="20"/>
                <w:szCs w:val="18"/>
              </w:rPr>
            </w:r>
            <w:r>
              <w:rPr>
                <w:rFonts w:ascii="Times New Roman" w:hAnsi="Times New Roman"/>
                <w:sz w:val="20"/>
                <w:szCs w:val="18"/>
              </w:rPr>
            </w:r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3. Уменьшение ПСН и УСН в 2023 году на страховые взносы без необходимости их фактической уплаты. Отражение в налоговой отчетности по УСН полученных субсидий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Межрайонная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ИФНС №9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по Приморскому краю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cantSplit/>
          <w:trHeight w:val="928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. Итоги работы по реализации полномочий органов местного самоуправления по осуществлению муниципального контроля в сфере благоустройства, на автомобильном транспорте и в дорожном хозяйстве за  первое полугодие 2024 года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жизнеобеспечения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blPrEx/>
        <w:trPr>
          <w:trHeight w:val="555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.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  <w:t xml:space="preserve">О результатах проведения процедуры оценки регулирующего воздействия проектов муниципальных правовых актов по итогам первого полугодия 2024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экономического развития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cantSplit/>
          <w:gridAfter w:val="2"/>
          <w:trHeight w:val="1448"/>
        </w:trPr>
        <w:tc>
          <w:tcPr>
            <w:tcW w:w="124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r>
          </w:p>
          <w:p>
            <w:pPr>
              <w:pStyle w:val="866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  <w:t xml:space="preserve">25 сентября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r>
          </w:p>
          <w:p>
            <w:pPr>
              <w:pStyle w:val="866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</w:r>
            <w:r>
              <w:rPr>
                <w:rFonts w:ascii="Times New Roman" w:hAnsi="Times New Roman"/>
                <w:sz w:val="18"/>
                <w:szCs w:val="18"/>
                <w:highlight w:val="none"/>
              </w:rPr>
            </w:r>
            <w:r>
              <w:rPr>
                <w:rFonts w:ascii="Times New Roman" w:hAnsi="Times New Roman"/>
                <w:sz w:val="18"/>
                <w:szCs w:val="18"/>
                <w:highlight w:val="none"/>
              </w:rPr>
            </w:r>
          </w:p>
          <w:p>
            <w:pPr>
              <w:pStyle w:val="866"/>
              <w:rPr>
                <w:rFonts w:ascii="Times New Roman" w:hAnsi="Times New Roman"/>
                <w:sz w:val="20"/>
                <w:szCs w:val="17"/>
                <w:highlight w:val="none"/>
              </w:rPr>
            </w:pPr>
            <w:r>
              <w:rPr>
                <w:rFonts w:ascii="Times New Roman" w:hAnsi="Times New Roman"/>
                <w:sz w:val="20"/>
                <w:szCs w:val="17"/>
                <w:highlight w:val="none"/>
              </w:rPr>
            </w:r>
            <w:r>
              <w:rPr>
                <w:rFonts w:ascii="Times New Roman" w:hAnsi="Times New Roman"/>
                <w:sz w:val="20"/>
                <w:szCs w:val="17"/>
                <w:highlight w:val="none"/>
              </w:rPr>
            </w:r>
            <w:r>
              <w:rPr>
                <w:rFonts w:ascii="Times New Roman" w:hAnsi="Times New Roman"/>
                <w:sz w:val="20"/>
                <w:szCs w:val="17"/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/>
            <w:r/>
          </w:p>
        </w:tc>
      </w:tr>
      <w:tr>
        <w:tblPrEx/>
        <w:trPr>
          <w:trHeight w:val="1448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1. 1. Актуальные вопросы применения контрольно-кассовой техники субъектами малого и среднего предпринимательства</w:t>
            </w:r>
            <w:r>
              <w:rPr>
                <w:rFonts w:ascii="Times New Roman" w:hAnsi="Times New Roman"/>
                <w:highlight w:val="none"/>
              </w:rPr>
            </w:r>
            <w:r>
              <w:rPr>
                <w:rFonts w:ascii="Times New Roman" w:hAnsi="Times New Roman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1.2. Снижение неформальной занятости, легализация теневой заработной платы, повышение уровня заработной платы</w:t>
            </w:r>
            <w:r>
              <w:rPr>
                <w:rFonts w:ascii="Times New Roman" w:hAnsi="Times New Roman"/>
                <w:highlight w:val="none"/>
              </w:rPr>
            </w:r>
            <w:r>
              <w:rPr>
                <w:rFonts w:ascii="Times New Roman" w:hAnsi="Times New Roman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Межрайонная ИФНС №9 по Приморскому краю</w:t>
            </w:r>
            <w:r>
              <w:rPr>
                <w:rFonts w:ascii="Times New Roman" w:hAnsi="Times New Roman"/>
                <w:highlight w:val="none"/>
              </w:rPr>
            </w:r>
            <w:r>
              <w:rPr>
                <w:rFonts w:ascii="Times New Roman" w:hAnsi="Times New Roman"/>
                <w:highlight w:val="none"/>
              </w:rPr>
            </w:r>
          </w:p>
        </w:tc>
      </w:tr>
      <w:tr>
        <w:tblPrEx/>
        <w:trPr>
          <w:trHeight w:val="992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. </w:t>
            </w: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  <w:shd w:val="clear" w:color="auto" w:fill="fbfbfb"/>
              </w:rPr>
              <w:t xml:space="preserve">Итоги работы по реализации полномочий органов местного самоуправления по осуществлению муниципального жилищного контроля </w:t>
            </w:r>
            <w:r>
              <w:rPr>
                <w:rFonts w:ascii="Times New Roman" w:hAnsi="Times New Roman"/>
                <w:color w:val="000000"/>
                <w:sz w:val="20"/>
                <w:szCs w:val="18"/>
                <w:highlight w:val="none"/>
                <w:shd w:val="clear" w:color="auto" w:fill="fbfbfb"/>
              </w:rPr>
              <w:t xml:space="preserve">за первое полугодие 2024 года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жилищной политики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trHeight w:val="992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3. 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  <w:t xml:space="preserve">О результатах проведения процедуры оценки регулирующего воздействия проектов муниципальных правовых актов по итогам 9 месяцев 2024 года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экономического развития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blPrEx/>
        <w:trPr>
          <w:trHeight w:val="277"/>
        </w:trPr>
        <w:tc>
          <w:tcPr>
            <w:tcW w:w="1242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  <w:t xml:space="preserve">27 ноября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r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1. Актуальные вопросы применения системы прослеживаемости товаров субъектами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Межрайонная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ИФНС №9 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по Приморскому краю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cantSplit/>
          <w:trHeight w:val="1488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. Итоги р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аботы административной комиссии Уссурийского городского округа с учетом требований Постановления Правительства от 10 марта 2022 года № 336 «Об особенностях организации и осуществления государственного контроля (надзора), муниципального контроля за 2024 год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Отдел по исполнению административного законодательства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</w:tr>
      <w:tr>
        <w:tblPrEx/>
        <w:trPr>
          <w:cantSplit/>
          <w:trHeight w:val="277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pPr>
              <w:pStyle w:val="8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. О внесении изменений в Перечень муниципального имущества Уссурийского городского округа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имущественных отношений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pStyle w:val="866"/>
              <w:jc w:val="both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</w:tc>
      </w:tr>
      <w:tr>
        <w:tblPrEx/>
        <w:trPr>
          <w:trHeight w:val="277"/>
        </w:trPr>
        <w:tc>
          <w:tcPr>
            <w:tcW w:w="1242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960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szCs w:val="18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  <w:t xml:space="preserve">О результатах проведения процедуры оценки регулирующего воздействия проектов муниципальных правовых актов по итогам  2024 года</w:t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</w:p>
        </w:tc>
        <w:tc>
          <w:tcPr>
            <w:tcW w:w="3687" w:type="dxa"/>
            <w:vAlign w:val="top"/>
            <w:vMerge w:val="restart"/>
            <w:textDirection w:val="lrTb"/>
            <w:noWrap w:val="false"/>
          </w:tcPr>
          <w:p>
            <w:pPr>
              <w:pStyle w:val="866"/>
              <w:jc w:val="both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18"/>
                <w:highlight w:val="none"/>
              </w:rPr>
              <w:t xml:space="preserve">Управление экономического развития администрации Уссурийского городского округа</w:t>
            </w:r>
            <w:r>
              <w:rPr>
                <w:rFonts w:ascii="Times New Roman" w:hAnsi="Times New Roman"/>
                <w:sz w:val="20"/>
                <w:highlight w:val="none"/>
              </w:rPr>
            </w:r>
            <w:r>
              <w:rPr>
                <w:rFonts w:ascii="Times New Roman" w:hAnsi="Times New Roman"/>
                <w:sz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szCs w:val="18"/>
                <w:highlight w:val="none"/>
              </w:rPr>
            </w:r>
            <w:r>
              <w:rPr>
                <w:rFonts w:ascii="Times New Roman" w:hAnsi="Times New Roman"/>
                <w:sz w:val="20"/>
                <w:highlight w:val="none"/>
              </w:rPr>
            </w:r>
          </w:p>
        </w:tc>
      </w:tr>
    </w:tbl>
    <w:p>
      <w:pPr>
        <w:pStyle w:val="866"/>
        <w:jc w:val="both"/>
        <w:rPr>
          <w:rFonts w:ascii="Times New Roman" w:hAnsi="Times New Roman"/>
          <w:sz w:val="20"/>
          <w:highlight w:val="none"/>
        </w:rPr>
      </w:pPr>
      <w:r>
        <w:rPr>
          <w:rFonts w:ascii="Times New Roman" w:hAnsi="Times New Roman"/>
          <w:sz w:val="20"/>
          <w:highlight w:val="none"/>
        </w:rPr>
      </w:r>
      <w:r>
        <w:rPr>
          <w:rFonts w:ascii="Times New Roman" w:hAnsi="Times New Roman"/>
          <w:sz w:val="20"/>
          <w:highlight w:val="none"/>
        </w:rPr>
      </w:r>
      <w:r>
        <w:rPr>
          <w:rFonts w:ascii="Times New Roman" w:hAnsi="Times New Roman"/>
          <w:sz w:val="20"/>
          <w:highlight w:val="none"/>
        </w:rPr>
      </w:r>
    </w:p>
    <w:p>
      <w:pPr>
        <w:pStyle w:val="866"/>
        <w:jc w:val="both"/>
        <w:rPr>
          <w:rFonts w:ascii="Times New Roman" w:hAnsi="Times New Roman"/>
          <w:sz w:val="20"/>
          <w:highlight w:val="none"/>
        </w:rPr>
      </w:pPr>
      <w:r>
        <w:rPr>
          <w:rFonts w:ascii="Times New Roman" w:hAnsi="Times New Roman"/>
          <w:sz w:val="20"/>
          <w:highlight w:val="none"/>
        </w:rPr>
      </w:r>
      <w:r>
        <w:rPr>
          <w:rFonts w:ascii="Times New Roman" w:hAnsi="Times New Roman"/>
          <w:sz w:val="20"/>
          <w:highlight w:val="none"/>
        </w:rPr>
      </w:r>
      <w:r>
        <w:rPr>
          <w:rFonts w:ascii="Times New Roman" w:hAnsi="Times New Roman"/>
          <w:sz w:val="20"/>
          <w:highlight w:val="none"/>
        </w:rPr>
      </w:r>
    </w:p>
    <w:p>
      <w:pPr>
        <w:pStyle w:val="866"/>
        <w:jc w:val="both"/>
        <w:rPr>
          <w:rFonts w:ascii="Times New Roman" w:hAnsi="Times New Roman"/>
          <w:sz w:val="20"/>
          <w:highlight w:val="none"/>
        </w:rPr>
      </w:pPr>
      <w:r>
        <w:rPr>
          <w:rFonts w:ascii="Times New Roman" w:hAnsi="Times New Roman"/>
          <w:sz w:val="20"/>
          <w:highlight w:val="none"/>
        </w:rPr>
      </w:r>
      <w:r>
        <w:rPr>
          <w:rFonts w:ascii="Times New Roman" w:hAnsi="Times New Roman"/>
          <w:sz w:val="20"/>
          <w:highlight w:val="none"/>
        </w:rPr>
      </w:r>
      <w:r>
        <w:rPr>
          <w:rFonts w:ascii="Times New Roman" w:hAnsi="Times New Roman"/>
          <w:sz w:val="20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link w:val="708"/>
    <w:uiPriority w:val="10"/>
    <w:rPr>
      <w:sz w:val="48"/>
      <w:szCs w:val="48"/>
    </w:rPr>
  </w:style>
  <w:style w:type="paragraph" w:styleId="710">
    <w:name w:val="Subtitle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link w:val="710"/>
    <w:uiPriority w:val="11"/>
    <w:rPr>
      <w:sz w:val="24"/>
      <w:szCs w:val="24"/>
    </w:rPr>
  </w:style>
  <w:style w:type="paragraph" w:styleId="712">
    <w:name w:val="Quote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link w:val="716"/>
    <w:uiPriority w:val="99"/>
  </w:style>
  <w:style w:type="paragraph" w:styleId="718">
    <w:name w:val="Footer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link w:val="718"/>
    <w:uiPriority w:val="99"/>
  </w:style>
  <w:style w:type="paragraph" w:styleId="72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uiPriority w:val="39"/>
    <w:unhideWhenUsed/>
    <w:pPr>
      <w:ind w:left="0" w:right="0" w:firstLine="0"/>
      <w:spacing w:after="57"/>
    </w:pPr>
  </w:style>
  <w:style w:type="paragraph" w:styleId="856">
    <w:name w:val="toc 2"/>
    <w:uiPriority w:val="39"/>
    <w:unhideWhenUsed/>
    <w:pPr>
      <w:ind w:left="283" w:right="0" w:firstLine="0"/>
      <w:spacing w:after="57"/>
    </w:pPr>
  </w:style>
  <w:style w:type="paragraph" w:styleId="857">
    <w:name w:val="toc 3"/>
    <w:uiPriority w:val="39"/>
    <w:unhideWhenUsed/>
    <w:pPr>
      <w:ind w:left="567" w:right="0" w:firstLine="0"/>
      <w:spacing w:after="57"/>
    </w:pPr>
  </w:style>
  <w:style w:type="paragraph" w:styleId="858">
    <w:name w:val="toc 4"/>
    <w:uiPriority w:val="39"/>
    <w:unhideWhenUsed/>
    <w:pPr>
      <w:ind w:left="850" w:right="0" w:firstLine="0"/>
      <w:spacing w:after="57"/>
    </w:pPr>
  </w:style>
  <w:style w:type="paragraph" w:styleId="859">
    <w:name w:val="toc 5"/>
    <w:uiPriority w:val="39"/>
    <w:unhideWhenUsed/>
    <w:pPr>
      <w:ind w:left="1134" w:right="0" w:firstLine="0"/>
      <w:spacing w:after="57"/>
    </w:pPr>
  </w:style>
  <w:style w:type="paragraph" w:styleId="860">
    <w:name w:val="toc 6"/>
    <w:uiPriority w:val="39"/>
    <w:unhideWhenUsed/>
    <w:pPr>
      <w:ind w:left="1417" w:right="0" w:firstLine="0"/>
      <w:spacing w:after="57"/>
    </w:pPr>
  </w:style>
  <w:style w:type="paragraph" w:styleId="861">
    <w:name w:val="toc 7"/>
    <w:uiPriority w:val="39"/>
    <w:unhideWhenUsed/>
    <w:pPr>
      <w:ind w:left="1701" w:right="0" w:firstLine="0"/>
      <w:spacing w:after="57"/>
    </w:pPr>
  </w:style>
  <w:style w:type="paragraph" w:styleId="862">
    <w:name w:val="toc 8"/>
    <w:uiPriority w:val="39"/>
    <w:unhideWhenUsed/>
    <w:pPr>
      <w:ind w:left="1984" w:right="0" w:firstLine="0"/>
      <w:spacing w:after="57"/>
    </w:pPr>
  </w:style>
  <w:style w:type="paragraph" w:styleId="863">
    <w:name w:val="toc 9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uiPriority w:val="99"/>
    <w:unhideWhenUsed/>
    <w:pPr>
      <w:spacing w:after="0" w:afterAutospacing="0"/>
    </w:pPr>
  </w:style>
  <w:style w:type="paragraph" w:styleId="866">
    <w:name w:val="Обычный"/>
    <w:next w:val="866"/>
    <w:link w:val="866"/>
    <w:pPr>
      <w:jc w:val="center"/>
    </w:pPr>
    <w:rPr>
      <w:sz w:val="22"/>
      <w:szCs w:val="22"/>
      <w:lang w:val="ru-RU" w:eastAsia="en-US" w:bidi="ar-SA"/>
    </w:rPr>
  </w:style>
  <w:style w:type="character" w:styleId="867">
    <w:name w:val="Основной шрифт абзаца"/>
    <w:next w:val="867"/>
    <w:link w:val="866"/>
    <w:semiHidden/>
  </w:style>
  <w:style w:type="table" w:styleId="868">
    <w:name w:val="Обычная таблица"/>
    <w:next w:val="868"/>
    <w:link w:val="866"/>
    <w:semiHidden/>
    <w:tblPr/>
  </w:style>
  <w:style w:type="numbering" w:styleId="869">
    <w:name w:val="Нет списка"/>
    <w:next w:val="869"/>
    <w:link w:val="866"/>
    <w:semiHidden/>
  </w:style>
  <w:style w:type="table" w:styleId="870">
    <w:name w:val="Сетка таблицы"/>
    <w:basedOn w:val="868"/>
    <w:next w:val="870"/>
    <w:link w:val="866"/>
    <w:tblPr/>
  </w:style>
  <w:style w:type="character" w:styleId="871" w:default="1">
    <w:name w:val="Default Paragraph Font"/>
    <w:uiPriority w:val="1"/>
    <w:semiHidden/>
    <w:unhideWhenUsed/>
  </w:style>
  <w:style w:type="numbering" w:styleId="872" w:default="1">
    <w:name w:val="No List"/>
    <w:uiPriority w:val="99"/>
    <w:semiHidden/>
    <w:unhideWhenUsed/>
  </w:style>
  <w:style w:type="paragraph" w:styleId="873" w:default="1">
    <w:name w:val="Normal"/>
    <w:qFormat/>
  </w:style>
  <w:style w:type="table" w:styleId="8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2024-01-14T22:55:34Z</dcterms:modified>
</cp:coreProperties>
</file>